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AEC" w:rsidRDefault="00B70AAB" w:rsidP="00D444B5">
      <w:pPr>
        <w:pStyle w:val="Body"/>
        <w:rPr>
          <w:rFonts w:cs="Calibri"/>
          <w:b/>
          <w:bCs/>
          <w:color w:val="auto"/>
        </w:rPr>
      </w:pPr>
      <w:r w:rsidRPr="00111AEC">
        <w:rPr>
          <w:rFonts w:cs="Calibri"/>
          <w:b/>
          <w:bCs/>
          <w:color w:val="auto"/>
        </w:rPr>
        <w:t>As a result of this Risk Assessment the PCC of St Laurence, Measham has determined that the church hall will be open for user groups as from</w:t>
      </w:r>
    </w:p>
    <w:p w:rsidR="00B70AAB" w:rsidRPr="00111AEC" w:rsidRDefault="00B70AAB" w:rsidP="00D444B5">
      <w:pPr>
        <w:pStyle w:val="Body"/>
        <w:rPr>
          <w:rFonts w:cs="Calibri"/>
          <w:b/>
          <w:bCs/>
          <w:color w:val="auto"/>
        </w:rPr>
      </w:pPr>
      <w:r w:rsidRPr="00111AEC">
        <w:rPr>
          <w:rFonts w:cs="Calibri"/>
          <w:b/>
          <w:bCs/>
          <w:color w:val="auto"/>
        </w:rPr>
        <w:t xml:space="preserve"> </w:t>
      </w:r>
      <w:r w:rsidR="00111AEC">
        <w:rPr>
          <w:rFonts w:cs="Calibri"/>
          <w:b/>
          <w:bCs/>
          <w:color w:val="auto"/>
        </w:rPr>
        <w:t xml:space="preserve">September </w:t>
      </w:r>
      <w:r w:rsidR="001A2897">
        <w:rPr>
          <w:rFonts w:cs="Calibri"/>
          <w:b/>
          <w:bCs/>
          <w:color w:val="auto"/>
        </w:rPr>
        <w:t>7</w:t>
      </w:r>
      <w:r w:rsidR="001A2897" w:rsidRPr="00111AEC">
        <w:rPr>
          <w:rFonts w:cs="Calibri"/>
          <w:b/>
          <w:bCs/>
          <w:color w:val="auto"/>
          <w:vertAlign w:val="superscript"/>
        </w:rPr>
        <w:t>th</w:t>
      </w:r>
      <w:r w:rsidR="001A2897">
        <w:rPr>
          <w:rFonts w:cs="Calibri"/>
          <w:b/>
          <w:bCs/>
          <w:color w:val="auto"/>
        </w:rPr>
        <w:t xml:space="preserve"> </w:t>
      </w:r>
      <w:r w:rsidR="001A2897" w:rsidRPr="00111AEC">
        <w:rPr>
          <w:rFonts w:cs="Calibri"/>
          <w:b/>
          <w:bCs/>
          <w:color w:val="auto"/>
        </w:rPr>
        <w:t>2020</w:t>
      </w:r>
      <w:r w:rsidRPr="00111AEC">
        <w:rPr>
          <w:rFonts w:cs="Calibri"/>
          <w:b/>
          <w:bCs/>
          <w:color w:val="auto"/>
        </w:rPr>
        <w:t xml:space="preserve"> </w:t>
      </w:r>
    </w:p>
    <w:p w:rsidR="00B70AAB" w:rsidRPr="001A2897" w:rsidRDefault="00B70AAB" w:rsidP="00D444B5">
      <w:pPr>
        <w:pStyle w:val="Body"/>
        <w:rPr>
          <w:rFonts w:cs="Calibri"/>
          <w:bCs/>
          <w:color w:val="auto"/>
        </w:rPr>
      </w:pPr>
      <w:r w:rsidRPr="001A2897">
        <w:rPr>
          <w:rFonts w:cs="Calibri"/>
          <w:bCs/>
          <w:color w:val="auto"/>
        </w:rPr>
        <w:t xml:space="preserve">This Risk Assessment </w:t>
      </w:r>
      <w:r w:rsidR="001255E2" w:rsidRPr="001A2897">
        <w:rPr>
          <w:rFonts w:cs="Calibri"/>
          <w:bCs/>
          <w:color w:val="auto"/>
        </w:rPr>
        <w:t xml:space="preserve">was reviewed on </w:t>
      </w:r>
      <w:r w:rsidR="001255E2" w:rsidRPr="00D444B5">
        <w:rPr>
          <w:rFonts w:cs="Calibri"/>
          <w:b/>
          <w:bCs/>
          <w:color w:val="auto"/>
        </w:rPr>
        <w:t>18</w:t>
      </w:r>
      <w:r w:rsidR="001255E2" w:rsidRPr="00D444B5">
        <w:rPr>
          <w:rFonts w:cs="Calibri"/>
          <w:b/>
          <w:bCs/>
          <w:color w:val="auto"/>
          <w:vertAlign w:val="superscript"/>
        </w:rPr>
        <w:t>th</w:t>
      </w:r>
      <w:r w:rsidR="001255E2" w:rsidRPr="00D444B5">
        <w:rPr>
          <w:rFonts w:cs="Calibri"/>
          <w:b/>
          <w:bCs/>
          <w:color w:val="auto"/>
        </w:rPr>
        <w:t xml:space="preserve"> August 2021</w:t>
      </w:r>
      <w:r w:rsidR="001255E2" w:rsidRPr="001A2897">
        <w:rPr>
          <w:rFonts w:cs="Calibri"/>
          <w:bCs/>
          <w:color w:val="auto"/>
        </w:rPr>
        <w:t xml:space="preserve"> </w:t>
      </w:r>
      <w:r w:rsidRPr="001A2897">
        <w:rPr>
          <w:rFonts w:cs="Calibri"/>
          <w:bCs/>
          <w:color w:val="auto"/>
        </w:rPr>
        <w:t>based upon the current state of play regarding the Covid-19 virus.</w:t>
      </w:r>
    </w:p>
    <w:p w:rsidR="00B70AAB" w:rsidRPr="00244A81" w:rsidRDefault="00B70AAB" w:rsidP="00B70AAB">
      <w:pPr>
        <w:pStyle w:val="Body"/>
        <w:rPr>
          <w:rFonts w:cs="Calibri"/>
          <w:bCs/>
        </w:rPr>
      </w:pPr>
      <w:r w:rsidRPr="00244A81">
        <w:rPr>
          <w:rFonts w:cs="Calibri"/>
          <w:bCs/>
        </w:rPr>
        <w:t xml:space="preserve">As a PCC we aim to minimize risk, as much as is reasonably practicable in a constantly evolving situation, whilst recognizing we cannot entirely remove it. Our assessment of risk is based on </w:t>
      </w:r>
    </w:p>
    <w:p w:rsidR="00B70AAB" w:rsidRPr="00244A81" w:rsidRDefault="00B70AAB" w:rsidP="00B70AAB">
      <w:pPr>
        <w:pStyle w:val="Body"/>
        <w:numPr>
          <w:ilvl w:val="0"/>
          <w:numId w:val="2"/>
        </w:numPr>
        <w:rPr>
          <w:rFonts w:cs="Calibri"/>
          <w:bCs/>
        </w:rPr>
      </w:pPr>
      <w:r w:rsidRPr="00244A81">
        <w:rPr>
          <w:rFonts w:cs="Calibri"/>
          <w:bCs/>
        </w:rPr>
        <w:t>Location -  village church</w:t>
      </w:r>
      <w:r>
        <w:rPr>
          <w:rFonts w:cs="Calibri"/>
          <w:bCs/>
        </w:rPr>
        <w:t xml:space="preserve"> hall</w:t>
      </w:r>
      <w:r w:rsidRPr="00244A81">
        <w:rPr>
          <w:rFonts w:cs="Calibri"/>
          <w:bCs/>
        </w:rPr>
        <w:t xml:space="preserve">, with </w:t>
      </w:r>
      <w:r>
        <w:rPr>
          <w:rFonts w:cs="Calibri"/>
          <w:bCs/>
        </w:rPr>
        <w:t xml:space="preserve">a small number of groups using the facility </w:t>
      </w:r>
    </w:p>
    <w:p w:rsidR="00B70AAB" w:rsidRPr="00DB7715" w:rsidRDefault="00B70AAB" w:rsidP="00B70AAB">
      <w:pPr>
        <w:pStyle w:val="Body"/>
        <w:numPr>
          <w:ilvl w:val="0"/>
          <w:numId w:val="2"/>
        </w:numPr>
        <w:rPr>
          <w:rFonts w:cs="Calibri"/>
          <w:bCs/>
          <w:color w:val="auto"/>
        </w:rPr>
      </w:pPr>
      <w:r w:rsidRPr="00DB7715">
        <w:rPr>
          <w:rFonts w:cs="Calibri"/>
          <w:bCs/>
          <w:color w:val="auto"/>
        </w:rPr>
        <w:t>The assumed cooperation of all using the hall and their leaders</w:t>
      </w:r>
    </w:p>
    <w:p w:rsidR="00B70AAB" w:rsidRPr="001A2897" w:rsidRDefault="00F760A4" w:rsidP="00B70AAB">
      <w:pPr>
        <w:pStyle w:val="Body"/>
        <w:numPr>
          <w:ilvl w:val="0"/>
          <w:numId w:val="2"/>
        </w:numPr>
        <w:rPr>
          <w:rFonts w:cs="Calibri"/>
          <w:bCs/>
          <w:color w:val="auto"/>
        </w:rPr>
      </w:pPr>
      <w:r>
        <w:rPr>
          <w:rFonts w:cs="Calibri"/>
          <w:bCs/>
        </w:rPr>
        <w:t xml:space="preserve">The prevalence </w:t>
      </w:r>
      <w:r w:rsidR="00B70AAB">
        <w:rPr>
          <w:rFonts w:cs="Calibri"/>
          <w:bCs/>
        </w:rPr>
        <w:t>of Covid-</w:t>
      </w:r>
      <w:r w:rsidR="00B70AAB" w:rsidRPr="00244A81">
        <w:rPr>
          <w:rFonts w:cs="Calibri"/>
          <w:bCs/>
        </w:rPr>
        <w:t>19 in the immediate and neighbouring</w:t>
      </w:r>
      <w:r w:rsidR="001255E2">
        <w:rPr>
          <w:rFonts w:cs="Calibri"/>
          <w:bCs/>
        </w:rPr>
        <w:t xml:space="preserve"> communities appears to be low </w:t>
      </w:r>
      <w:r w:rsidR="001255E2" w:rsidRPr="001A2897">
        <w:rPr>
          <w:rFonts w:cs="Calibri"/>
          <w:bCs/>
          <w:color w:val="auto"/>
        </w:rPr>
        <w:t>and a high prop</w:t>
      </w:r>
      <w:r w:rsidR="00F45E30" w:rsidRPr="001A2897">
        <w:rPr>
          <w:rFonts w:cs="Calibri"/>
          <w:bCs/>
          <w:color w:val="auto"/>
        </w:rPr>
        <w:t xml:space="preserve">ortion of the population is </w:t>
      </w:r>
      <w:r w:rsidR="001255E2" w:rsidRPr="001A2897">
        <w:rPr>
          <w:rFonts w:cs="Calibri"/>
          <w:bCs/>
          <w:color w:val="auto"/>
        </w:rPr>
        <w:t>double vaccinated.</w:t>
      </w:r>
    </w:p>
    <w:p w:rsidR="00B70AAB" w:rsidRPr="00244A81" w:rsidRDefault="00B70AAB" w:rsidP="00B70AAB">
      <w:pPr>
        <w:pStyle w:val="Body"/>
        <w:ind w:left="765"/>
        <w:rPr>
          <w:rFonts w:cs="Calibri"/>
          <w:bCs/>
        </w:rPr>
      </w:pPr>
    </w:p>
    <w:p w:rsidR="00A30723" w:rsidRDefault="00B70AAB" w:rsidP="00B70AAB">
      <w:pPr>
        <w:pStyle w:val="Body"/>
        <w:rPr>
          <w:rFonts w:cs="Calibri"/>
          <w:bCs/>
        </w:rPr>
      </w:pPr>
      <w:r w:rsidRPr="00244A81">
        <w:rPr>
          <w:rFonts w:cs="Calibri"/>
          <w:bCs/>
        </w:rPr>
        <w:t xml:space="preserve">Therefore our </w:t>
      </w:r>
      <w:r w:rsidRPr="00244A81">
        <w:rPr>
          <w:rFonts w:cs="Calibri"/>
          <w:b/>
          <w:bCs/>
          <w:i/>
        </w:rPr>
        <w:t>overall assessm</w:t>
      </w:r>
      <w:r w:rsidR="001255E2">
        <w:rPr>
          <w:rFonts w:cs="Calibri"/>
          <w:b/>
          <w:bCs/>
          <w:i/>
        </w:rPr>
        <w:t xml:space="preserve">ent of risk at this point is </w:t>
      </w:r>
      <w:r w:rsidR="001255E2" w:rsidRPr="004F2960">
        <w:rPr>
          <w:rFonts w:cs="Calibri"/>
          <w:b/>
          <w:bCs/>
          <w:i/>
          <w:color w:val="auto"/>
        </w:rPr>
        <w:t>low</w:t>
      </w:r>
      <w:r w:rsidR="001255E2">
        <w:rPr>
          <w:rFonts w:cs="Calibri"/>
          <w:b/>
          <w:bCs/>
          <w:i/>
        </w:rPr>
        <w:t xml:space="preserve">. </w:t>
      </w:r>
      <w:r w:rsidRPr="00244A81">
        <w:rPr>
          <w:rFonts w:cs="Calibri"/>
          <w:bCs/>
        </w:rPr>
        <w:t>If this changes, prevalence increases, or volunteers become unavailable then our approach will be revisited.</w:t>
      </w:r>
    </w:p>
    <w:p w:rsidR="00A30723" w:rsidRDefault="00A30723" w:rsidP="00DF6A3C">
      <w:pPr>
        <w:pStyle w:val="Body"/>
        <w:rPr>
          <w:rFonts w:cs="Calibri"/>
          <w:bCs/>
        </w:rPr>
      </w:pPr>
    </w:p>
    <w:p w:rsidR="00A30723" w:rsidRDefault="00A30723" w:rsidP="00DF6A3C">
      <w:pPr>
        <w:pStyle w:val="Body"/>
        <w:rPr>
          <w:rFonts w:cs="Calibri"/>
          <w:bCs/>
        </w:rPr>
      </w:pPr>
    </w:p>
    <w:p w:rsidR="00A30723" w:rsidRDefault="00A30723" w:rsidP="00DF6A3C">
      <w:pPr>
        <w:pStyle w:val="Body"/>
        <w:rPr>
          <w:rFonts w:cs="Calibri"/>
          <w:bCs/>
        </w:rPr>
      </w:pPr>
    </w:p>
    <w:p w:rsidR="00A30723" w:rsidRDefault="00A30723" w:rsidP="00DF6A3C">
      <w:pPr>
        <w:pStyle w:val="Body"/>
        <w:rPr>
          <w:rFonts w:cs="Calibri"/>
          <w:bCs/>
        </w:rPr>
      </w:pPr>
    </w:p>
    <w:p w:rsidR="00A30723" w:rsidRDefault="00A30723" w:rsidP="00DF6A3C">
      <w:pPr>
        <w:pStyle w:val="Body"/>
        <w:rPr>
          <w:rFonts w:cs="Calibri"/>
          <w:bCs/>
        </w:rPr>
      </w:pPr>
    </w:p>
    <w:p w:rsidR="00A30723" w:rsidRDefault="00A30723" w:rsidP="00DF6A3C">
      <w:pPr>
        <w:pStyle w:val="Body"/>
        <w:rPr>
          <w:rFonts w:cs="Calibri"/>
          <w:bCs/>
        </w:rPr>
      </w:pPr>
    </w:p>
    <w:p w:rsidR="00A30723" w:rsidRPr="00244A81" w:rsidRDefault="00A30723" w:rsidP="00DF6A3C">
      <w:pPr>
        <w:pStyle w:val="Body"/>
        <w:rPr>
          <w:rFonts w:cs="Calibri"/>
          <w:bCs/>
        </w:rPr>
      </w:pPr>
      <w:bookmarkStart w:id="0" w:name="_GoBack"/>
      <w:bookmarkEnd w:id="0"/>
    </w:p>
    <w:p w:rsidR="00DF6A3C" w:rsidRPr="00535C11" w:rsidRDefault="00DF6A3C" w:rsidP="00DF6A3C">
      <w:pPr>
        <w:jc w:val="center"/>
        <w:rPr>
          <w:rFonts w:ascii="Segoe UI" w:hAnsi="Segoe UI" w:cs="Segoe UI"/>
          <w:b/>
          <w:szCs w:val="24"/>
        </w:rPr>
      </w:pPr>
    </w:p>
    <w:p w:rsidR="00DF6A3C" w:rsidRDefault="00DF6A3C"/>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5"/>
        <w:gridCol w:w="3284"/>
        <w:gridCol w:w="3538"/>
        <w:gridCol w:w="3464"/>
      </w:tblGrid>
      <w:tr w:rsidR="00F35345" w:rsidTr="00CF1E87">
        <w:trPr>
          <w:trHeight w:val="579"/>
        </w:trPr>
        <w:tc>
          <w:tcPr>
            <w:tcW w:w="3665" w:type="dxa"/>
          </w:tcPr>
          <w:p w:rsidR="00F35345" w:rsidRPr="00EC3012" w:rsidRDefault="00F35345" w:rsidP="00556529">
            <w:pPr>
              <w:pStyle w:val="TableParagraph"/>
              <w:rPr>
                <w:b/>
              </w:rPr>
            </w:pPr>
            <w:bookmarkStart w:id="1" w:name="_Hlk46842443"/>
            <w:r w:rsidRPr="00EC3012">
              <w:rPr>
                <w:b/>
              </w:rPr>
              <w:lastRenderedPageBreak/>
              <w:t>Area or People at Risk</w:t>
            </w:r>
          </w:p>
        </w:tc>
        <w:tc>
          <w:tcPr>
            <w:tcW w:w="3284" w:type="dxa"/>
          </w:tcPr>
          <w:p w:rsidR="00F35345" w:rsidRPr="00EC3012" w:rsidRDefault="00F35345" w:rsidP="00556529">
            <w:pPr>
              <w:pStyle w:val="TableParagraph"/>
              <w:rPr>
                <w:b/>
              </w:rPr>
            </w:pPr>
            <w:r w:rsidRPr="00EC3012">
              <w:rPr>
                <w:b/>
              </w:rPr>
              <w:t>Risk identified</w:t>
            </w:r>
          </w:p>
        </w:tc>
        <w:tc>
          <w:tcPr>
            <w:tcW w:w="3538" w:type="dxa"/>
          </w:tcPr>
          <w:p w:rsidR="00F35345" w:rsidRDefault="00F35345" w:rsidP="00556529">
            <w:pPr>
              <w:pStyle w:val="TableParagraph"/>
              <w:spacing w:before="7" w:line="266" w:lineRule="exact"/>
              <w:ind w:right="462"/>
              <w:rPr>
                <w:b/>
              </w:rPr>
            </w:pPr>
            <w:r w:rsidRPr="00EC3012">
              <w:rPr>
                <w:b/>
              </w:rPr>
              <w:t xml:space="preserve">Actions to take to mitigate </w:t>
            </w:r>
            <w:r w:rsidR="00055516" w:rsidRPr="00EC3012">
              <w:rPr>
                <w:b/>
              </w:rPr>
              <w:t>r</w:t>
            </w:r>
            <w:r w:rsidRPr="00EC3012">
              <w:rPr>
                <w:b/>
              </w:rPr>
              <w:t>isk</w:t>
            </w:r>
          </w:p>
          <w:p w:rsidR="00A30723" w:rsidRPr="00EC3012" w:rsidRDefault="00A30723" w:rsidP="00556529">
            <w:pPr>
              <w:pStyle w:val="TableParagraph"/>
              <w:spacing w:before="7" w:line="266" w:lineRule="exact"/>
              <w:ind w:right="462"/>
              <w:rPr>
                <w:b/>
              </w:rPr>
            </w:pPr>
          </w:p>
        </w:tc>
        <w:tc>
          <w:tcPr>
            <w:tcW w:w="3464" w:type="dxa"/>
          </w:tcPr>
          <w:p w:rsidR="00F35345" w:rsidRPr="00EC3012" w:rsidRDefault="00911700" w:rsidP="00556529">
            <w:pPr>
              <w:pStyle w:val="TableParagraph"/>
              <w:rPr>
                <w:b/>
              </w:rPr>
            </w:pPr>
            <w:r w:rsidRPr="00EC3012">
              <w:rPr>
                <w:b/>
              </w:rPr>
              <w:t>Action Taken</w:t>
            </w:r>
          </w:p>
        </w:tc>
      </w:tr>
      <w:tr w:rsidR="00F35345" w:rsidTr="00CF1E87">
        <w:trPr>
          <w:trHeight w:val="274"/>
        </w:trPr>
        <w:tc>
          <w:tcPr>
            <w:tcW w:w="3665" w:type="dxa"/>
          </w:tcPr>
          <w:p w:rsidR="00F35345" w:rsidRDefault="00404010" w:rsidP="00556529">
            <w:pPr>
              <w:pStyle w:val="TableParagraph"/>
              <w:ind w:right="256"/>
            </w:pPr>
            <w:r w:rsidRPr="001C1003">
              <w:rPr>
                <w:b/>
              </w:rPr>
              <w:t>U</w:t>
            </w:r>
            <w:r w:rsidR="00EC2883" w:rsidRPr="001C1003">
              <w:rPr>
                <w:b/>
              </w:rPr>
              <w:t xml:space="preserve">sers, </w:t>
            </w:r>
            <w:r w:rsidR="007809D9" w:rsidRPr="001C1003">
              <w:rPr>
                <w:b/>
              </w:rPr>
              <w:t>cleaner</w:t>
            </w:r>
            <w:r w:rsidR="00F35345" w:rsidRPr="001C1003">
              <w:rPr>
                <w:b/>
              </w:rPr>
              <w:t xml:space="preserve"> </w:t>
            </w:r>
            <w:r w:rsidR="00F35345">
              <w:rPr>
                <w:b/>
              </w:rPr>
              <w:t xml:space="preserve">and volunteers – </w:t>
            </w:r>
            <w:r w:rsidR="00CA0ECB">
              <w:t>Wo</w:t>
            </w:r>
            <w:r w:rsidR="00F35345">
              <w:t xml:space="preserve">rk activity </w:t>
            </w:r>
            <w:r w:rsidR="00CA0ECB">
              <w:t>and s</w:t>
            </w:r>
            <w:r w:rsidR="00F35345">
              <w:t xml:space="preserve">ituations </w:t>
            </w:r>
            <w:r w:rsidR="00CA0ECB">
              <w:t xml:space="preserve">which </w:t>
            </w:r>
            <w:r w:rsidR="00F35345">
              <w:t xml:space="preserve">might cause transmission of the virus and likelihood </w:t>
            </w:r>
            <w:r w:rsidR="00CA0ECB">
              <w:t>of exposure</w:t>
            </w:r>
          </w:p>
          <w:p w:rsidR="00CF1E87" w:rsidRDefault="00CF1E87" w:rsidP="00556529">
            <w:pPr>
              <w:pStyle w:val="TableParagraph"/>
              <w:ind w:right="256"/>
            </w:pPr>
          </w:p>
        </w:tc>
        <w:tc>
          <w:tcPr>
            <w:tcW w:w="3284" w:type="dxa"/>
          </w:tcPr>
          <w:p w:rsidR="00F35345" w:rsidRDefault="006F0E7A" w:rsidP="00556529">
            <w:pPr>
              <w:pStyle w:val="TableParagraph"/>
              <w:spacing w:line="242" w:lineRule="auto"/>
              <w:ind w:right="306"/>
            </w:pPr>
            <w:r>
              <w:t>S</w:t>
            </w:r>
            <w:r w:rsidR="00F35345">
              <w:t>urfaces</w:t>
            </w:r>
            <w:r>
              <w:t xml:space="preserve"> could be</w:t>
            </w:r>
            <w:r w:rsidR="00F35345">
              <w:t xml:space="preserve"> infected by people carrying the virus.</w:t>
            </w:r>
          </w:p>
          <w:p w:rsidR="00EC2883" w:rsidRDefault="00EC2883" w:rsidP="00556529">
            <w:pPr>
              <w:pStyle w:val="TableParagraph"/>
              <w:ind w:right="156"/>
            </w:pPr>
          </w:p>
          <w:p w:rsidR="001C1003" w:rsidRDefault="001C1003" w:rsidP="00556529">
            <w:pPr>
              <w:pStyle w:val="TableParagraph"/>
              <w:ind w:right="156"/>
            </w:pPr>
          </w:p>
          <w:p w:rsidR="00676057" w:rsidRDefault="00676057" w:rsidP="00556529">
            <w:pPr>
              <w:pStyle w:val="TableParagraph"/>
              <w:ind w:right="156"/>
            </w:pPr>
          </w:p>
          <w:p w:rsidR="00676057" w:rsidRDefault="00676057" w:rsidP="00556529">
            <w:pPr>
              <w:pStyle w:val="TableParagraph"/>
              <w:ind w:right="156"/>
            </w:pPr>
          </w:p>
          <w:p w:rsidR="00676057" w:rsidRDefault="00676057" w:rsidP="00556529">
            <w:pPr>
              <w:pStyle w:val="TableParagraph"/>
              <w:ind w:right="156"/>
            </w:pPr>
          </w:p>
          <w:p w:rsidR="00676057" w:rsidRDefault="00676057" w:rsidP="00556529">
            <w:pPr>
              <w:pStyle w:val="TableParagraph"/>
              <w:ind w:right="156"/>
            </w:pPr>
          </w:p>
          <w:p w:rsidR="004C3065" w:rsidRDefault="004C3065" w:rsidP="00556529">
            <w:pPr>
              <w:pStyle w:val="TableParagraph"/>
              <w:ind w:right="156"/>
            </w:pPr>
          </w:p>
          <w:p w:rsidR="004C3065" w:rsidRDefault="004C3065" w:rsidP="00556529">
            <w:pPr>
              <w:pStyle w:val="TableParagraph"/>
              <w:ind w:right="156"/>
            </w:pPr>
          </w:p>
          <w:p w:rsidR="004C3065" w:rsidRDefault="004C3065" w:rsidP="00556529">
            <w:pPr>
              <w:pStyle w:val="TableParagraph"/>
              <w:ind w:right="156"/>
            </w:pPr>
          </w:p>
          <w:p w:rsidR="006F0E7A" w:rsidRDefault="006F0E7A" w:rsidP="00556529">
            <w:pPr>
              <w:pStyle w:val="TableParagraph"/>
              <w:ind w:right="156"/>
            </w:pPr>
          </w:p>
          <w:p w:rsidR="00560446" w:rsidRDefault="00560446" w:rsidP="00556529">
            <w:pPr>
              <w:pStyle w:val="TableParagraph"/>
              <w:ind w:right="156"/>
            </w:pPr>
          </w:p>
          <w:p w:rsidR="00E819EA" w:rsidRDefault="00E819EA" w:rsidP="00556529">
            <w:pPr>
              <w:pStyle w:val="TableParagraph"/>
              <w:ind w:right="156"/>
            </w:pPr>
          </w:p>
          <w:p w:rsidR="00E819EA" w:rsidRDefault="00E819EA" w:rsidP="00556529">
            <w:pPr>
              <w:pStyle w:val="TableParagraph"/>
              <w:ind w:right="156"/>
            </w:pPr>
          </w:p>
          <w:p w:rsidR="00E819EA" w:rsidRDefault="00E819EA" w:rsidP="00556529">
            <w:pPr>
              <w:pStyle w:val="TableParagraph"/>
              <w:ind w:right="156"/>
            </w:pPr>
          </w:p>
          <w:p w:rsidR="001A2897" w:rsidRDefault="001A2897" w:rsidP="00556529">
            <w:pPr>
              <w:pStyle w:val="TableParagraph"/>
              <w:ind w:right="156"/>
            </w:pPr>
          </w:p>
          <w:p w:rsidR="00E819EA" w:rsidRDefault="00E819EA" w:rsidP="00556529">
            <w:pPr>
              <w:pStyle w:val="TableParagraph"/>
              <w:ind w:right="156"/>
            </w:pPr>
          </w:p>
          <w:p w:rsidR="001A2897" w:rsidRDefault="001A2897" w:rsidP="00556529">
            <w:pPr>
              <w:pStyle w:val="TableParagraph"/>
              <w:ind w:right="156"/>
            </w:pPr>
          </w:p>
          <w:p w:rsidR="001A2897" w:rsidRDefault="001A2897" w:rsidP="00556529">
            <w:pPr>
              <w:pStyle w:val="TableParagraph"/>
              <w:ind w:right="156"/>
            </w:pPr>
          </w:p>
          <w:p w:rsidR="001A2897" w:rsidRDefault="001A2897" w:rsidP="00556529">
            <w:pPr>
              <w:pStyle w:val="TableParagraph"/>
              <w:ind w:right="156"/>
            </w:pPr>
          </w:p>
          <w:p w:rsidR="00E819EA" w:rsidRDefault="00E819EA" w:rsidP="00556529">
            <w:pPr>
              <w:pStyle w:val="TableParagraph"/>
              <w:ind w:right="156"/>
            </w:pPr>
          </w:p>
          <w:p w:rsidR="00155742" w:rsidRDefault="00155742" w:rsidP="00556529">
            <w:pPr>
              <w:pStyle w:val="TableParagraph"/>
              <w:ind w:right="156"/>
            </w:pPr>
          </w:p>
          <w:p w:rsidR="00801250" w:rsidRDefault="00E819EA" w:rsidP="00801250">
            <w:pPr>
              <w:pStyle w:val="TableParagraph"/>
              <w:spacing w:line="237" w:lineRule="auto"/>
              <w:ind w:right="103"/>
            </w:pPr>
            <w:r>
              <w:t>R</w:t>
            </w:r>
            <w:r w:rsidR="00801250">
              <w:t>ubbish containing tissues and cleaning cloths</w:t>
            </w:r>
            <w:r>
              <w:t xml:space="preserve"> not disposed of correctly</w:t>
            </w:r>
            <w:r w:rsidR="00801250">
              <w:t>.</w:t>
            </w:r>
          </w:p>
          <w:p w:rsidR="001C1003" w:rsidRDefault="001C1003" w:rsidP="00556529">
            <w:pPr>
              <w:pStyle w:val="TableParagraph"/>
              <w:ind w:right="156"/>
            </w:pPr>
          </w:p>
          <w:p w:rsidR="006F0E7A" w:rsidRDefault="006F0E7A" w:rsidP="00556529">
            <w:pPr>
              <w:pStyle w:val="TableParagraph"/>
              <w:ind w:right="156"/>
            </w:pPr>
          </w:p>
          <w:p w:rsidR="006F0E7A" w:rsidRDefault="006F0E7A" w:rsidP="00556529">
            <w:pPr>
              <w:pStyle w:val="TableParagraph"/>
              <w:ind w:right="156"/>
            </w:pPr>
          </w:p>
          <w:p w:rsidR="006F0E7A" w:rsidRDefault="006F0E7A" w:rsidP="00556529">
            <w:pPr>
              <w:pStyle w:val="TableParagraph"/>
              <w:ind w:right="156"/>
            </w:pPr>
          </w:p>
          <w:p w:rsidR="00F35345" w:rsidRDefault="00F35345" w:rsidP="00556529">
            <w:pPr>
              <w:pStyle w:val="TableParagraph"/>
              <w:ind w:right="822"/>
            </w:pPr>
          </w:p>
        </w:tc>
        <w:tc>
          <w:tcPr>
            <w:tcW w:w="3538" w:type="dxa"/>
          </w:tcPr>
          <w:p w:rsidR="00676057" w:rsidRDefault="00F35345" w:rsidP="00523AB5">
            <w:pPr>
              <w:pStyle w:val="TableParagraph"/>
              <w:ind w:right="170"/>
              <w:rPr>
                <w:bCs/>
              </w:rPr>
            </w:pPr>
            <w:r w:rsidRPr="00911700">
              <w:rPr>
                <w:bCs/>
              </w:rPr>
              <w:t>A</w:t>
            </w:r>
            <w:r w:rsidR="006F0E7A">
              <w:rPr>
                <w:bCs/>
              </w:rPr>
              <w:t>dvice to stay at home if unwell</w:t>
            </w:r>
          </w:p>
          <w:p w:rsidR="00EC2883" w:rsidRDefault="00EC2883" w:rsidP="006F0E7A">
            <w:pPr>
              <w:pStyle w:val="TableParagraph"/>
              <w:ind w:left="0" w:right="170"/>
              <w:rPr>
                <w:bCs/>
              </w:rPr>
            </w:pPr>
          </w:p>
          <w:p w:rsidR="00484518" w:rsidRDefault="00484518" w:rsidP="006F0E7A">
            <w:pPr>
              <w:pStyle w:val="TableParagraph"/>
              <w:ind w:left="0" w:right="170"/>
              <w:rPr>
                <w:bCs/>
              </w:rPr>
            </w:pPr>
          </w:p>
          <w:p w:rsidR="001255E2" w:rsidRDefault="001255E2" w:rsidP="00523AB5">
            <w:pPr>
              <w:pStyle w:val="TableParagraph"/>
              <w:ind w:right="170"/>
              <w:rPr>
                <w:bCs/>
              </w:rPr>
            </w:pPr>
            <w:r w:rsidRPr="001255E2">
              <w:rPr>
                <w:bCs/>
              </w:rPr>
              <w:t xml:space="preserve">Door handles, light switches, and all surfaces used frequently </w:t>
            </w:r>
            <w:r>
              <w:rPr>
                <w:bCs/>
              </w:rPr>
              <w:t xml:space="preserve">to be sanitised before leaving. </w:t>
            </w:r>
          </w:p>
          <w:p w:rsidR="006F0E7A" w:rsidRDefault="006F0E7A" w:rsidP="00523AB5">
            <w:pPr>
              <w:pStyle w:val="TableParagraph"/>
              <w:ind w:right="170"/>
              <w:rPr>
                <w:bCs/>
              </w:rPr>
            </w:pPr>
          </w:p>
          <w:p w:rsidR="00EC2883" w:rsidRDefault="006F0E7A" w:rsidP="00523AB5">
            <w:pPr>
              <w:pStyle w:val="TableParagraph"/>
              <w:ind w:right="170"/>
              <w:rPr>
                <w:bCs/>
              </w:rPr>
            </w:pPr>
            <w:r w:rsidRPr="006F0E7A">
              <w:rPr>
                <w:bCs/>
              </w:rPr>
              <w:t>There is a requirement</w:t>
            </w:r>
            <w:r w:rsidR="001255E2" w:rsidRPr="006F0E7A">
              <w:rPr>
                <w:bCs/>
              </w:rPr>
              <w:t xml:space="preserve"> to</w:t>
            </w:r>
            <w:r w:rsidRPr="006F0E7A">
              <w:rPr>
                <w:bCs/>
              </w:rPr>
              <w:t xml:space="preserve"> sign the form relating to each</w:t>
            </w:r>
            <w:r w:rsidR="001255E2" w:rsidRPr="006F0E7A">
              <w:rPr>
                <w:bCs/>
              </w:rPr>
              <w:t xml:space="preserve"> group to confirm </w:t>
            </w:r>
            <w:r>
              <w:rPr>
                <w:bCs/>
              </w:rPr>
              <w:t>cleaning.</w:t>
            </w:r>
          </w:p>
          <w:p w:rsidR="00E819EA" w:rsidRDefault="00E819EA" w:rsidP="00523AB5">
            <w:pPr>
              <w:pStyle w:val="TableParagraph"/>
              <w:ind w:right="170"/>
              <w:rPr>
                <w:bCs/>
              </w:rPr>
            </w:pPr>
          </w:p>
          <w:p w:rsidR="00E819EA" w:rsidRDefault="00E819EA" w:rsidP="00523AB5">
            <w:pPr>
              <w:pStyle w:val="TableParagraph"/>
              <w:ind w:right="170"/>
              <w:rPr>
                <w:bCs/>
              </w:rPr>
            </w:pPr>
            <w:r w:rsidRPr="00E819EA">
              <w:rPr>
                <w:bCs/>
              </w:rPr>
              <w:t>Where refreshments are being served tables being used in the hall must be sanitised before and after use</w:t>
            </w:r>
            <w:r>
              <w:rPr>
                <w:bCs/>
              </w:rPr>
              <w:t>.</w:t>
            </w:r>
          </w:p>
          <w:p w:rsidR="001A2897" w:rsidRPr="004F2960" w:rsidRDefault="001A2897" w:rsidP="00523AB5">
            <w:pPr>
              <w:pStyle w:val="TableParagraph"/>
              <w:ind w:right="170"/>
              <w:rPr>
                <w:bCs/>
              </w:rPr>
            </w:pPr>
            <w:r w:rsidRPr="004F2960">
              <w:rPr>
                <w:bCs/>
              </w:rPr>
              <w:t xml:space="preserve">Where refreshments are being served, all </w:t>
            </w:r>
            <w:r w:rsidR="00826CD2" w:rsidRPr="004F2960">
              <w:rPr>
                <w:bCs/>
              </w:rPr>
              <w:t>kitchen</w:t>
            </w:r>
            <w:r w:rsidRPr="004F2960">
              <w:rPr>
                <w:bCs/>
              </w:rPr>
              <w:t xml:space="preserve"> work surfaces must be sanitised before and after use.</w:t>
            </w:r>
          </w:p>
          <w:p w:rsidR="00676057" w:rsidRDefault="00676057" w:rsidP="00523AB5">
            <w:pPr>
              <w:pStyle w:val="TableParagraph"/>
              <w:ind w:right="170"/>
              <w:rPr>
                <w:bCs/>
              </w:rPr>
            </w:pPr>
          </w:p>
          <w:p w:rsidR="001255E2" w:rsidRDefault="001255E2" w:rsidP="00801250">
            <w:pPr>
              <w:pStyle w:val="TableParagraph"/>
              <w:ind w:right="368"/>
            </w:pPr>
            <w:r>
              <w:t>Cleaning cloths to be placed in orange bucket after use.</w:t>
            </w:r>
          </w:p>
          <w:p w:rsidR="001255E2" w:rsidRDefault="001255E2" w:rsidP="00801250">
            <w:pPr>
              <w:pStyle w:val="TableParagraph"/>
              <w:ind w:right="368"/>
            </w:pPr>
          </w:p>
          <w:p w:rsidR="00801250" w:rsidRPr="00DB7715" w:rsidRDefault="00801250" w:rsidP="00801250">
            <w:pPr>
              <w:pStyle w:val="TableParagraph"/>
              <w:ind w:right="368"/>
            </w:pPr>
            <w:r w:rsidRPr="00DB7715">
              <w:t>Rubbish to be bagged and put in black wheelie bin in car park</w:t>
            </w:r>
          </w:p>
          <w:p w:rsidR="00801250" w:rsidRPr="00DB7715" w:rsidRDefault="00801250" w:rsidP="00801250">
            <w:pPr>
              <w:pStyle w:val="TableParagraph"/>
              <w:ind w:right="170"/>
              <w:rPr>
                <w:bCs/>
              </w:rPr>
            </w:pPr>
          </w:p>
          <w:p w:rsidR="006F0E7A" w:rsidRDefault="00404010" w:rsidP="00F45E30">
            <w:pPr>
              <w:pStyle w:val="TableParagraph"/>
              <w:ind w:right="170"/>
              <w:rPr>
                <w:b/>
              </w:rPr>
            </w:pPr>
            <w:r>
              <w:rPr>
                <w:bCs/>
              </w:rPr>
              <w:t xml:space="preserve">If Measham became the centre of an outbreak the Hall </w:t>
            </w:r>
            <w:r w:rsidR="00F45E30">
              <w:rPr>
                <w:bCs/>
              </w:rPr>
              <w:t>may</w:t>
            </w:r>
            <w:r>
              <w:rPr>
                <w:bCs/>
              </w:rPr>
              <w:t xml:space="preserve"> be closed.</w:t>
            </w:r>
            <w:r w:rsidR="00801250">
              <w:rPr>
                <w:bCs/>
              </w:rPr>
              <w:t xml:space="preserve"> </w:t>
            </w:r>
          </w:p>
        </w:tc>
        <w:tc>
          <w:tcPr>
            <w:tcW w:w="3464" w:type="dxa"/>
          </w:tcPr>
          <w:p w:rsidR="001C1003" w:rsidRDefault="001C1003" w:rsidP="001C1003">
            <w:pPr>
              <w:pStyle w:val="TableParagraph"/>
              <w:ind w:right="735"/>
            </w:pPr>
            <w:r>
              <w:t>Special conditions for hirers</w:t>
            </w:r>
            <w:r w:rsidR="00676057">
              <w:t>’</w:t>
            </w:r>
            <w:r>
              <w:t xml:space="preserve"> sheet produced</w:t>
            </w:r>
            <w:r w:rsidR="00676057">
              <w:t>.</w:t>
            </w:r>
          </w:p>
          <w:p w:rsidR="00484518" w:rsidRDefault="00484518" w:rsidP="00484518">
            <w:pPr>
              <w:pStyle w:val="TableParagraph"/>
              <w:ind w:right="170"/>
              <w:rPr>
                <w:bCs/>
              </w:rPr>
            </w:pPr>
          </w:p>
          <w:p w:rsidR="00484518" w:rsidRDefault="00484518" w:rsidP="00484518">
            <w:pPr>
              <w:pStyle w:val="TableParagraph"/>
              <w:ind w:right="170"/>
              <w:rPr>
                <w:bCs/>
              </w:rPr>
            </w:pPr>
            <w:r>
              <w:rPr>
                <w:bCs/>
              </w:rPr>
              <w:t>Cleaning chemicals will be kept under the sink in the kitchen. Cleaning cloths will be available.</w:t>
            </w:r>
          </w:p>
          <w:p w:rsidR="00484518" w:rsidRDefault="00484518" w:rsidP="00484518">
            <w:pPr>
              <w:pStyle w:val="TableParagraph"/>
              <w:ind w:left="0" w:right="735"/>
            </w:pPr>
          </w:p>
          <w:p w:rsidR="00484518" w:rsidRDefault="00484518" w:rsidP="00484518">
            <w:pPr>
              <w:pStyle w:val="TableParagraph"/>
              <w:ind w:left="0" w:right="735"/>
            </w:pPr>
            <w:r>
              <w:t xml:space="preserve"> Forms available in  the  </w:t>
            </w:r>
          </w:p>
          <w:p w:rsidR="006F0E7A" w:rsidRDefault="00484518" w:rsidP="00484518">
            <w:pPr>
              <w:pStyle w:val="TableParagraph"/>
              <w:ind w:right="735"/>
            </w:pPr>
            <w:r>
              <w:t>kitchen</w:t>
            </w:r>
          </w:p>
          <w:p w:rsidR="00484518" w:rsidRDefault="00484518" w:rsidP="001C1003">
            <w:pPr>
              <w:pStyle w:val="TableParagraph"/>
              <w:ind w:right="735"/>
            </w:pPr>
          </w:p>
          <w:p w:rsidR="00484518" w:rsidRDefault="00484518" w:rsidP="001C1003">
            <w:pPr>
              <w:pStyle w:val="TableParagraph"/>
              <w:ind w:right="735"/>
            </w:pPr>
          </w:p>
          <w:p w:rsidR="007F296E" w:rsidRDefault="007F296E" w:rsidP="00556529">
            <w:pPr>
              <w:pStyle w:val="TableParagraph"/>
              <w:ind w:right="276"/>
              <w:rPr>
                <w:color w:val="000000" w:themeColor="text1"/>
              </w:rPr>
            </w:pPr>
            <w:r>
              <w:t xml:space="preserve">Discussed procedures with </w:t>
            </w:r>
            <w:r w:rsidR="007809D9">
              <w:t>volunteers</w:t>
            </w:r>
            <w:r>
              <w:t xml:space="preserve"> stressing the importance of cleaning all surfaces that have been touched, especially using</w:t>
            </w:r>
            <w:r w:rsidR="00F35345">
              <w:t xml:space="preserve"> cloths on light switches and electrical appliances rather </w:t>
            </w:r>
            <w:r w:rsidR="00F35345" w:rsidRPr="007F296E">
              <w:rPr>
                <w:color w:val="000000" w:themeColor="text1"/>
              </w:rPr>
              <w:t>than spray disinfectants</w:t>
            </w:r>
            <w:r w:rsidRPr="007F296E">
              <w:rPr>
                <w:color w:val="000000" w:themeColor="text1"/>
              </w:rPr>
              <w:t>.</w:t>
            </w:r>
          </w:p>
          <w:p w:rsidR="006F0E7A" w:rsidRPr="007F296E" w:rsidRDefault="006F0E7A" w:rsidP="00556529">
            <w:pPr>
              <w:pStyle w:val="TableParagraph"/>
              <w:ind w:right="276"/>
              <w:rPr>
                <w:color w:val="000000" w:themeColor="text1"/>
              </w:rPr>
            </w:pPr>
          </w:p>
          <w:p w:rsidR="001C1003" w:rsidRDefault="001C1003" w:rsidP="007F296E">
            <w:pPr>
              <w:pStyle w:val="TableParagraph"/>
              <w:ind w:right="368"/>
              <w:rPr>
                <w:color w:val="000000" w:themeColor="text1"/>
              </w:rPr>
            </w:pPr>
          </w:p>
          <w:p w:rsidR="00676057" w:rsidRDefault="00676057" w:rsidP="00523AB5">
            <w:pPr>
              <w:pStyle w:val="TableParagraph"/>
              <w:ind w:right="368"/>
              <w:rPr>
                <w:color w:val="FF0000"/>
              </w:rPr>
            </w:pPr>
          </w:p>
          <w:p w:rsidR="006F0E7A" w:rsidRDefault="00E819EA" w:rsidP="00F45E30">
            <w:pPr>
              <w:pStyle w:val="TableParagraph"/>
              <w:spacing w:before="1" w:line="260" w:lineRule="atLeast"/>
              <w:ind w:right="416"/>
            </w:pPr>
            <w:r w:rsidRPr="005B5464">
              <w:t>User Groups advised of what is required.</w:t>
            </w:r>
          </w:p>
          <w:p w:rsidR="006F0E7A" w:rsidRDefault="006F0E7A" w:rsidP="00801250">
            <w:pPr>
              <w:pStyle w:val="TableParagraph"/>
              <w:ind w:right="368"/>
            </w:pPr>
          </w:p>
          <w:p w:rsidR="006F0E7A" w:rsidRDefault="006F0E7A" w:rsidP="00801250">
            <w:pPr>
              <w:pStyle w:val="TableParagraph"/>
              <w:ind w:right="368"/>
            </w:pPr>
          </w:p>
          <w:p w:rsidR="00A30723" w:rsidRDefault="00A30723" w:rsidP="00523AB5">
            <w:pPr>
              <w:pStyle w:val="TableParagraph"/>
              <w:ind w:right="368"/>
            </w:pPr>
          </w:p>
          <w:p w:rsidR="00A30723" w:rsidRDefault="00A30723" w:rsidP="00523AB5">
            <w:pPr>
              <w:pStyle w:val="TableParagraph"/>
              <w:ind w:right="368"/>
            </w:pPr>
          </w:p>
          <w:p w:rsidR="00AF5002" w:rsidRDefault="00AF5002" w:rsidP="006F0E7A">
            <w:pPr>
              <w:pStyle w:val="TableParagraph"/>
              <w:ind w:right="368"/>
            </w:pPr>
          </w:p>
        </w:tc>
      </w:tr>
      <w:tr w:rsidR="00A30723" w:rsidTr="00AF5002">
        <w:trPr>
          <w:trHeight w:val="557"/>
        </w:trPr>
        <w:tc>
          <w:tcPr>
            <w:tcW w:w="3665" w:type="dxa"/>
          </w:tcPr>
          <w:p w:rsidR="00A30723" w:rsidRPr="00560446" w:rsidRDefault="00A30723" w:rsidP="00A30723">
            <w:pPr>
              <w:pStyle w:val="TableParagraph"/>
              <w:ind w:right="182"/>
              <w:rPr>
                <w:b/>
              </w:rPr>
            </w:pPr>
            <w:r w:rsidRPr="00EC3012">
              <w:rPr>
                <w:b/>
              </w:rPr>
              <w:lastRenderedPageBreak/>
              <w:t>Area or People at Risk</w:t>
            </w:r>
          </w:p>
        </w:tc>
        <w:tc>
          <w:tcPr>
            <w:tcW w:w="3284" w:type="dxa"/>
          </w:tcPr>
          <w:p w:rsidR="00A30723" w:rsidRDefault="00A30723" w:rsidP="00A30723">
            <w:pPr>
              <w:pStyle w:val="TableParagraph"/>
              <w:ind w:right="124"/>
            </w:pPr>
            <w:r w:rsidRPr="00EC3012">
              <w:rPr>
                <w:b/>
              </w:rPr>
              <w:t>Risk identified</w:t>
            </w:r>
          </w:p>
        </w:tc>
        <w:tc>
          <w:tcPr>
            <w:tcW w:w="3538" w:type="dxa"/>
          </w:tcPr>
          <w:p w:rsidR="00A30723" w:rsidRPr="009D649F" w:rsidRDefault="00A30723" w:rsidP="00A30723">
            <w:pPr>
              <w:pStyle w:val="TableParagraph"/>
              <w:ind w:right="378"/>
              <w:rPr>
                <w:bCs/>
              </w:rPr>
            </w:pPr>
            <w:r w:rsidRPr="00EC3012">
              <w:rPr>
                <w:b/>
              </w:rPr>
              <w:t>Actions to take to mitigate risk</w:t>
            </w:r>
          </w:p>
        </w:tc>
        <w:tc>
          <w:tcPr>
            <w:tcW w:w="3464" w:type="dxa"/>
          </w:tcPr>
          <w:p w:rsidR="00A30723" w:rsidRDefault="00A30723" w:rsidP="00A30723">
            <w:pPr>
              <w:pStyle w:val="TableParagraph"/>
              <w:ind w:right="199"/>
              <w:rPr>
                <w:b/>
              </w:rPr>
            </w:pPr>
            <w:r w:rsidRPr="00EC3012">
              <w:rPr>
                <w:b/>
              </w:rPr>
              <w:t>Action Taken</w:t>
            </w:r>
          </w:p>
          <w:p w:rsidR="00A30723" w:rsidRDefault="00A30723" w:rsidP="00A30723">
            <w:pPr>
              <w:pStyle w:val="TableParagraph"/>
              <w:ind w:right="199"/>
              <w:rPr>
                <w:b/>
              </w:rPr>
            </w:pPr>
          </w:p>
          <w:p w:rsidR="00A30723" w:rsidRPr="009D649F" w:rsidRDefault="00A30723" w:rsidP="00A30723">
            <w:pPr>
              <w:pStyle w:val="TableParagraph"/>
              <w:ind w:right="199"/>
              <w:rPr>
                <w:bCs/>
              </w:rPr>
            </w:pPr>
          </w:p>
        </w:tc>
      </w:tr>
      <w:bookmarkEnd w:id="1"/>
      <w:tr w:rsidR="00F35345" w:rsidTr="00556529">
        <w:trPr>
          <w:trHeight w:val="3977"/>
        </w:trPr>
        <w:tc>
          <w:tcPr>
            <w:tcW w:w="3665" w:type="dxa"/>
          </w:tcPr>
          <w:p w:rsidR="00CA0ECB" w:rsidRDefault="00404010" w:rsidP="00556529">
            <w:pPr>
              <w:pStyle w:val="TableParagraph"/>
              <w:ind w:right="182"/>
              <w:rPr>
                <w:b/>
              </w:rPr>
            </w:pPr>
            <w:r w:rsidRPr="00560446">
              <w:rPr>
                <w:b/>
              </w:rPr>
              <w:t>U</w:t>
            </w:r>
            <w:r w:rsidR="00EC2883" w:rsidRPr="00560446">
              <w:rPr>
                <w:b/>
              </w:rPr>
              <w:t>sers,</w:t>
            </w:r>
            <w:r w:rsidR="007809D9" w:rsidRPr="00560446">
              <w:rPr>
                <w:b/>
              </w:rPr>
              <w:t xml:space="preserve"> cleane</w:t>
            </w:r>
            <w:r w:rsidR="00CA0ECB" w:rsidRPr="00560446">
              <w:rPr>
                <w:b/>
              </w:rPr>
              <w:t xml:space="preserve">r </w:t>
            </w:r>
            <w:r w:rsidR="00CA0ECB">
              <w:rPr>
                <w:b/>
              </w:rPr>
              <w:t>and volunteers –</w:t>
            </w:r>
          </w:p>
          <w:p w:rsidR="00CA0ECB" w:rsidRDefault="00CA0ECB" w:rsidP="00556529">
            <w:pPr>
              <w:pStyle w:val="TableParagraph"/>
              <w:ind w:right="182"/>
            </w:pPr>
            <w:r>
              <w:t>Personal circumstances.</w:t>
            </w:r>
          </w:p>
          <w:p w:rsidR="00F35345" w:rsidRDefault="00F35345" w:rsidP="00556529">
            <w:pPr>
              <w:pStyle w:val="TableParagraph"/>
              <w:ind w:right="182"/>
            </w:pPr>
          </w:p>
        </w:tc>
        <w:tc>
          <w:tcPr>
            <w:tcW w:w="3284" w:type="dxa"/>
          </w:tcPr>
          <w:p w:rsidR="00F35345" w:rsidRDefault="00523AB5" w:rsidP="00556529">
            <w:pPr>
              <w:pStyle w:val="TableParagraph"/>
              <w:ind w:right="118"/>
            </w:pPr>
            <w:r>
              <w:t>C</w:t>
            </w:r>
            <w:r w:rsidR="007809D9">
              <w:t>leaner</w:t>
            </w:r>
            <w:r w:rsidR="00F35345">
              <w:t xml:space="preserve"> or volunteers carrying out cleanin</w:t>
            </w:r>
            <w:r w:rsidR="00911700">
              <w:t>g and</w:t>
            </w:r>
            <w:r w:rsidR="009D649F">
              <w:t xml:space="preserve"> </w:t>
            </w:r>
            <w:r w:rsidR="00F35345">
              <w:t>maintenance could be exposed if a person carrying the virus has entered the premises or falls ill.</w:t>
            </w:r>
          </w:p>
          <w:p w:rsidR="009D649F" w:rsidRDefault="009D649F" w:rsidP="00556529">
            <w:pPr>
              <w:pStyle w:val="TableParagraph"/>
              <w:ind w:right="118"/>
            </w:pPr>
          </w:p>
          <w:p w:rsidR="00F35345" w:rsidRDefault="00856F75" w:rsidP="00560446">
            <w:pPr>
              <w:pStyle w:val="TableParagraph"/>
              <w:ind w:right="118"/>
            </w:pPr>
            <w:r>
              <w:t>Mental stress from handling the new situation.</w:t>
            </w:r>
          </w:p>
        </w:tc>
        <w:tc>
          <w:tcPr>
            <w:tcW w:w="3538" w:type="dxa"/>
          </w:tcPr>
          <w:p w:rsidR="00A90BDB" w:rsidRDefault="00A90BDB" w:rsidP="00A90BDB">
            <w:pPr>
              <w:pStyle w:val="TableParagraph"/>
              <w:ind w:right="199"/>
              <w:rPr>
                <w:bCs/>
              </w:rPr>
            </w:pPr>
            <w:r w:rsidRPr="009D649F">
              <w:rPr>
                <w:bCs/>
              </w:rPr>
              <w:t xml:space="preserve">Procedure in place to ensure </w:t>
            </w:r>
            <w:r>
              <w:rPr>
                <w:bCs/>
              </w:rPr>
              <w:t>anyone cleaning</w:t>
            </w:r>
            <w:r w:rsidRPr="009D649F">
              <w:rPr>
                <w:bCs/>
              </w:rPr>
              <w:t xml:space="preserve"> and </w:t>
            </w:r>
            <w:r>
              <w:rPr>
                <w:bCs/>
              </w:rPr>
              <w:t>Incumbent, churchwarden and Lynne Hadfield</w:t>
            </w:r>
            <w:r w:rsidRPr="009D649F">
              <w:rPr>
                <w:bCs/>
              </w:rPr>
              <w:t xml:space="preserve"> are warned if someone is tested positive for COVID-19 who has been on the premises.</w:t>
            </w:r>
          </w:p>
          <w:p w:rsidR="00A90BDB" w:rsidRDefault="00A90BDB" w:rsidP="00A90BDB">
            <w:pPr>
              <w:pStyle w:val="TableParagraph"/>
              <w:ind w:right="199"/>
              <w:rPr>
                <w:bCs/>
              </w:rPr>
            </w:pPr>
          </w:p>
          <w:p w:rsidR="00A90BDB" w:rsidRDefault="00A90BDB" w:rsidP="00F531D6">
            <w:pPr>
              <w:pStyle w:val="TableParagraph"/>
              <w:rPr>
                <w:bCs/>
              </w:rPr>
            </w:pPr>
            <w:r w:rsidRPr="00A90BDB">
              <w:rPr>
                <w:bCs/>
              </w:rPr>
              <w:t>Hand sanitiser to be used and washing hands regularly encouraged.</w:t>
            </w:r>
          </w:p>
          <w:p w:rsidR="00A90BDB" w:rsidRPr="00A90BDB" w:rsidRDefault="00A90BDB" w:rsidP="00F531D6">
            <w:pPr>
              <w:pStyle w:val="TableParagraph"/>
              <w:rPr>
                <w:bCs/>
              </w:rPr>
            </w:pPr>
          </w:p>
          <w:p w:rsidR="00A90BDB" w:rsidRDefault="00A90BDB" w:rsidP="00A90BDB">
            <w:pPr>
              <w:pStyle w:val="TableParagraph"/>
              <w:rPr>
                <w:bCs/>
              </w:rPr>
            </w:pPr>
            <w:r w:rsidRPr="00A90BDB">
              <w:rPr>
                <w:bCs/>
              </w:rPr>
              <w:t>We continue to be sensitive on the issue of social distancing and wearing face coverings</w:t>
            </w:r>
            <w:r w:rsidRPr="009D649F">
              <w:rPr>
                <w:bCs/>
              </w:rPr>
              <w:t xml:space="preserve"> </w:t>
            </w:r>
          </w:p>
          <w:p w:rsidR="00856F75" w:rsidRPr="009D649F" w:rsidRDefault="00856F75" w:rsidP="00A90BDB">
            <w:pPr>
              <w:pStyle w:val="TableParagraph"/>
              <w:rPr>
                <w:bCs/>
              </w:rPr>
            </w:pPr>
          </w:p>
        </w:tc>
        <w:tc>
          <w:tcPr>
            <w:tcW w:w="3464" w:type="dxa"/>
          </w:tcPr>
          <w:p w:rsidR="00A30723" w:rsidRPr="009D649F" w:rsidRDefault="0036295B" w:rsidP="00556529">
            <w:pPr>
              <w:pStyle w:val="TableParagraph"/>
              <w:ind w:right="199"/>
              <w:rPr>
                <w:bCs/>
              </w:rPr>
            </w:pPr>
            <w:r w:rsidRPr="00A419EF">
              <w:rPr>
                <w:bCs/>
              </w:rPr>
              <w:t>This is requirement of hirers’ special conditions.</w:t>
            </w:r>
          </w:p>
          <w:p w:rsidR="009D649F" w:rsidRPr="009D649F" w:rsidRDefault="009D649F" w:rsidP="00556529">
            <w:pPr>
              <w:pStyle w:val="TableParagraph"/>
              <w:ind w:right="84"/>
              <w:rPr>
                <w:bCs/>
              </w:rPr>
            </w:pPr>
          </w:p>
          <w:p w:rsidR="00F35345" w:rsidRPr="009D649F" w:rsidRDefault="00856F75" w:rsidP="00560446">
            <w:pPr>
              <w:pStyle w:val="TableParagraph"/>
              <w:ind w:right="84"/>
              <w:rPr>
                <w:bCs/>
              </w:rPr>
            </w:pPr>
            <w:r w:rsidRPr="009D649F">
              <w:rPr>
                <w:bCs/>
              </w:rPr>
              <w:t xml:space="preserve">Any concerns can be raised with the </w:t>
            </w:r>
            <w:r w:rsidR="007809D9">
              <w:rPr>
                <w:bCs/>
              </w:rPr>
              <w:t>Incumbent</w:t>
            </w:r>
            <w:r w:rsidR="00404010">
              <w:rPr>
                <w:bCs/>
              </w:rPr>
              <w:t>, Lynne Hadfield or Church Warden.</w:t>
            </w:r>
          </w:p>
        </w:tc>
      </w:tr>
    </w:tbl>
    <w:p w:rsidR="007040A5" w:rsidRDefault="007040A5">
      <w:pPr>
        <w:spacing w:line="260" w:lineRule="atLeast"/>
        <w:sectPr w:rsidR="007040A5" w:rsidSect="00A30723">
          <w:headerReference w:type="default" r:id="rId11"/>
          <w:footerReference w:type="default" r:id="rId12"/>
          <w:pgSz w:w="16840" w:h="11910" w:orient="landscape"/>
          <w:pgMar w:top="1520" w:right="1320" w:bottom="1160" w:left="1340" w:header="564" w:footer="963" w:gutter="0"/>
          <w:cols w:space="720"/>
          <w:docGrid w:linePitch="299"/>
        </w:sectPr>
      </w:pPr>
      <w:bookmarkStart w:id="2" w:name="_Hlk46837296"/>
    </w:p>
    <w:p w:rsidR="007040A5" w:rsidRDefault="007040A5">
      <w:pPr>
        <w:pStyle w:val="BodyText"/>
        <w:rPr>
          <w:b/>
          <w:sz w:val="20"/>
        </w:rPr>
      </w:pPr>
    </w:p>
    <w:p w:rsidR="007040A5" w:rsidRDefault="007040A5">
      <w:pPr>
        <w:pStyle w:val="BodyText"/>
        <w:spacing w:before="1"/>
        <w:rPr>
          <w:b/>
          <w:sz w:val="17"/>
        </w:rPr>
      </w:pPr>
    </w:p>
    <w:tbl>
      <w:tblPr>
        <w:tblW w:w="1395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5"/>
        <w:gridCol w:w="3284"/>
        <w:gridCol w:w="3538"/>
        <w:gridCol w:w="3464"/>
      </w:tblGrid>
      <w:tr w:rsidR="00856F75" w:rsidTr="00A30723">
        <w:trPr>
          <w:trHeight w:val="70"/>
        </w:trPr>
        <w:tc>
          <w:tcPr>
            <w:tcW w:w="3665" w:type="dxa"/>
          </w:tcPr>
          <w:p w:rsidR="00856F75" w:rsidRDefault="00856F75" w:rsidP="00856F75">
            <w:pPr>
              <w:pStyle w:val="TableParagraph"/>
              <w:ind w:left="0"/>
              <w:rPr>
                <w:rFonts w:ascii="Times New Roman"/>
                <w:sz w:val="18"/>
              </w:rPr>
            </w:pPr>
            <w:bookmarkStart w:id="3" w:name="_Hlk46842315"/>
            <w:bookmarkStart w:id="4" w:name="_Hlk46925837"/>
            <w:r>
              <w:rPr>
                <w:b/>
              </w:rPr>
              <w:t>Area or People at Risk</w:t>
            </w:r>
          </w:p>
        </w:tc>
        <w:tc>
          <w:tcPr>
            <w:tcW w:w="3284" w:type="dxa"/>
          </w:tcPr>
          <w:p w:rsidR="00856F75" w:rsidRDefault="00856F75" w:rsidP="00856F75">
            <w:pPr>
              <w:pStyle w:val="TableParagraph"/>
              <w:ind w:left="0"/>
              <w:rPr>
                <w:rFonts w:ascii="Times New Roman"/>
                <w:sz w:val="18"/>
              </w:rPr>
            </w:pPr>
            <w:r>
              <w:rPr>
                <w:b/>
              </w:rPr>
              <w:t>Risk identified</w:t>
            </w:r>
          </w:p>
        </w:tc>
        <w:tc>
          <w:tcPr>
            <w:tcW w:w="3538" w:type="dxa"/>
          </w:tcPr>
          <w:p w:rsidR="00155742" w:rsidRDefault="00EC3012" w:rsidP="00856F75">
            <w:pPr>
              <w:pStyle w:val="TableParagraph"/>
              <w:ind w:left="0"/>
              <w:rPr>
                <w:b/>
              </w:rPr>
            </w:pPr>
            <w:r>
              <w:rPr>
                <w:b/>
              </w:rPr>
              <w:t xml:space="preserve"> </w:t>
            </w:r>
            <w:r w:rsidR="00856F75">
              <w:rPr>
                <w:b/>
              </w:rPr>
              <w:t>Actions to take to mitigate</w:t>
            </w:r>
          </w:p>
          <w:p w:rsidR="00856F75" w:rsidRDefault="00856F75" w:rsidP="00856F75">
            <w:pPr>
              <w:pStyle w:val="TableParagraph"/>
              <w:ind w:left="0"/>
              <w:rPr>
                <w:b/>
              </w:rPr>
            </w:pPr>
            <w:r>
              <w:rPr>
                <w:b/>
              </w:rPr>
              <w:t xml:space="preserve"> </w:t>
            </w:r>
            <w:r w:rsidR="00B70AAB">
              <w:rPr>
                <w:b/>
              </w:rPr>
              <w:t>R</w:t>
            </w:r>
            <w:r>
              <w:rPr>
                <w:b/>
              </w:rPr>
              <w:t>isk</w:t>
            </w:r>
          </w:p>
          <w:p w:rsidR="00B70AAB" w:rsidRDefault="00B70AAB" w:rsidP="00856F75">
            <w:pPr>
              <w:pStyle w:val="TableParagraph"/>
              <w:ind w:left="0"/>
              <w:rPr>
                <w:rFonts w:ascii="Times New Roman"/>
                <w:sz w:val="18"/>
              </w:rPr>
            </w:pPr>
          </w:p>
        </w:tc>
        <w:tc>
          <w:tcPr>
            <w:tcW w:w="3464" w:type="dxa"/>
          </w:tcPr>
          <w:p w:rsidR="00856F75" w:rsidRDefault="00055516" w:rsidP="00856F75">
            <w:pPr>
              <w:pStyle w:val="TableParagraph"/>
              <w:ind w:left="0"/>
              <w:rPr>
                <w:rFonts w:ascii="Times New Roman"/>
                <w:sz w:val="18"/>
              </w:rPr>
            </w:pPr>
            <w:r>
              <w:rPr>
                <w:b/>
              </w:rPr>
              <w:t>Action Taken</w:t>
            </w:r>
          </w:p>
        </w:tc>
      </w:tr>
      <w:bookmarkEnd w:id="3"/>
      <w:bookmarkEnd w:id="4"/>
      <w:tr w:rsidR="00856F75" w:rsidTr="00DB50CF">
        <w:trPr>
          <w:trHeight w:val="2915"/>
        </w:trPr>
        <w:tc>
          <w:tcPr>
            <w:tcW w:w="3665" w:type="dxa"/>
          </w:tcPr>
          <w:p w:rsidR="00856F75" w:rsidRDefault="00856F75" w:rsidP="007809D9">
            <w:pPr>
              <w:pStyle w:val="TableParagraph"/>
              <w:spacing w:line="259" w:lineRule="exact"/>
            </w:pPr>
            <w:r>
              <w:t>Entrance hall</w:t>
            </w:r>
            <w:r w:rsidR="00944A90">
              <w:t>-All users</w:t>
            </w:r>
          </w:p>
        </w:tc>
        <w:tc>
          <w:tcPr>
            <w:tcW w:w="3284" w:type="dxa"/>
          </w:tcPr>
          <w:p w:rsidR="009245FF" w:rsidRDefault="009245FF" w:rsidP="00856F75">
            <w:pPr>
              <w:pStyle w:val="TableParagraph"/>
              <w:ind w:right="191"/>
            </w:pPr>
            <w:r>
              <w:t>Person to person contamination</w:t>
            </w:r>
          </w:p>
          <w:p w:rsidR="009245FF" w:rsidRDefault="009245FF" w:rsidP="00856F75">
            <w:pPr>
              <w:pStyle w:val="TableParagraph"/>
              <w:ind w:right="191"/>
            </w:pPr>
          </w:p>
          <w:p w:rsidR="00A30723" w:rsidRDefault="00A30723" w:rsidP="00856F75">
            <w:pPr>
              <w:pStyle w:val="TableParagraph"/>
              <w:ind w:right="191"/>
            </w:pPr>
          </w:p>
          <w:p w:rsidR="00A30723" w:rsidRDefault="00A30723" w:rsidP="00856F75">
            <w:pPr>
              <w:pStyle w:val="TableParagraph"/>
              <w:ind w:right="191"/>
            </w:pPr>
          </w:p>
          <w:p w:rsidR="00155742" w:rsidRDefault="00155742" w:rsidP="00856F75">
            <w:pPr>
              <w:pStyle w:val="TableParagraph"/>
              <w:ind w:right="191"/>
            </w:pPr>
          </w:p>
          <w:p w:rsidR="00A64340" w:rsidRDefault="00A64340" w:rsidP="00856F75">
            <w:pPr>
              <w:pStyle w:val="TableParagraph"/>
              <w:ind w:right="191"/>
            </w:pPr>
          </w:p>
          <w:p w:rsidR="00155742" w:rsidRDefault="00155742" w:rsidP="00856F75">
            <w:pPr>
              <w:pStyle w:val="TableParagraph"/>
              <w:ind w:right="191"/>
            </w:pPr>
          </w:p>
          <w:p w:rsidR="00155742" w:rsidRDefault="00155742" w:rsidP="00856F75">
            <w:pPr>
              <w:pStyle w:val="TableParagraph"/>
              <w:ind w:right="191"/>
            </w:pPr>
          </w:p>
          <w:p w:rsidR="00155742" w:rsidRDefault="00155742" w:rsidP="00856F75">
            <w:pPr>
              <w:pStyle w:val="TableParagraph"/>
              <w:ind w:right="191"/>
            </w:pPr>
          </w:p>
          <w:p w:rsidR="0036295B" w:rsidRDefault="0036295B" w:rsidP="00856F75">
            <w:pPr>
              <w:pStyle w:val="TableParagraph"/>
              <w:ind w:right="191"/>
            </w:pPr>
          </w:p>
          <w:p w:rsidR="00450397" w:rsidRDefault="00450397" w:rsidP="00856F75">
            <w:pPr>
              <w:pStyle w:val="TableParagraph"/>
              <w:ind w:right="176"/>
            </w:pPr>
          </w:p>
          <w:p w:rsidR="00450397" w:rsidRDefault="00450397" w:rsidP="00856F75">
            <w:pPr>
              <w:pStyle w:val="TableParagraph"/>
              <w:ind w:right="176"/>
            </w:pPr>
          </w:p>
          <w:p w:rsidR="00450397" w:rsidRDefault="00450397" w:rsidP="00856F75">
            <w:pPr>
              <w:pStyle w:val="TableParagraph"/>
              <w:ind w:right="176"/>
            </w:pPr>
          </w:p>
          <w:p w:rsidR="003E10F3" w:rsidRDefault="003E10F3" w:rsidP="00856F75">
            <w:pPr>
              <w:pStyle w:val="TableParagraph"/>
              <w:ind w:right="176"/>
            </w:pPr>
          </w:p>
          <w:p w:rsidR="003E10F3" w:rsidRDefault="003E10F3" w:rsidP="00856F75">
            <w:pPr>
              <w:pStyle w:val="TableParagraph"/>
              <w:ind w:right="176"/>
            </w:pPr>
          </w:p>
          <w:p w:rsidR="008C5309" w:rsidRDefault="008C5309" w:rsidP="00856F75">
            <w:pPr>
              <w:pStyle w:val="TableParagraph"/>
              <w:ind w:right="176"/>
            </w:pPr>
          </w:p>
          <w:p w:rsidR="008C5309" w:rsidRDefault="008C5309" w:rsidP="00856F75">
            <w:pPr>
              <w:pStyle w:val="TableParagraph"/>
              <w:ind w:right="176"/>
            </w:pPr>
          </w:p>
          <w:p w:rsidR="008C5309" w:rsidRDefault="008C5309" w:rsidP="00856F75">
            <w:pPr>
              <w:pStyle w:val="TableParagraph"/>
              <w:ind w:right="176"/>
            </w:pPr>
          </w:p>
          <w:p w:rsidR="008C5309" w:rsidRDefault="008C5309" w:rsidP="00856F75">
            <w:pPr>
              <w:pStyle w:val="TableParagraph"/>
              <w:ind w:right="176"/>
            </w:pPr>
          </w:p>
          <w:p w:rsidR="008C5309" w:rsidRDefault="008C5309" w:rsidP="00856F75">
            <w:pPr>
              <w:pStyle w:val="TableParagraph"/>
              <w:ind w:right="176"/>
            </w:pPr>
          </w:p>
          <w:p w:rsidR="00450397" w:rsidRDefault="00450397" w:rsidP="00856F75">
            <w:pPr>
              <w:pStyle w:val="TableParagraph"/>
              <w:ind w:right="176"/>
            </w:pPr>
          </w:p>
          <w:p w:rsidR="00856F75" w:rsidRDefault="008C5309" w:rsidP="008C5309">
            <w:pPr>
              <w:pStyle w:val="TableParagraph"/>
              <w:ind w:right="176"/>
            </w:pPr>
            <w:r>
              <w:t>Contamination from door handles and</w:t>
            </w:r>
            <w:r w:rsidR="00856F75">
              <w:t xml:space="preserve"> light switches in frequent use.</w:t>
            </w:r>
          </w:p>
        </w:tc>
        <w:tc>
          <w:tcPr>
            <w:tcW w:w="3538" w:type="dxa"/>
          </w:tcPr>
          <w:p w:rsidR="00A90BDB" w:rsidRDefault="00A90BDB" w:rsidP="00A90BDB">
            <w:pPr>
              <w:pStyle w:val="TableParagraph"/>
              <w:rPr>
                <w:bCs/>
              </w:rPr>
            </w:pPr>
            <w:r w:rsidRPr="00A90BDB">
              <w:rPr>
                <w:bCs/>
              </w:rPr>
              <w:t xml:space="preserve">Hand sanitiser </w:t>
            </w:r>
            <w:r>
              <w:rPr>
                <w:bCs/>
              </w:rPr>
              <w:t>is provided and should</w:t>
            </w:r>
            <w:r w:rsidRPr="00A90BDB">
              <w:rPr>
                <w:bCs/>
              </w:rPr>
              <w:t xml:space="preserve"> be used </w:t>
            </w:r>
            <w:r>
              <w:rPr>
                <w:bCs/>
              </w:rPr>
              <w:t xml:space="preserve">on entry, </w:t>
            </w:r>
            <w:r w:rsidRPr="00A90BDB">
              <w:rPr>
                <w:bCs/>
              </w:rPr>
              <w:t xml:space="preserve">and washing hands regularly </w:t>
            </w:r>
            <w:r w:rsidR="00F45E30">
              <w:rPr>
                <w:bCs/>
              </w:rPr>
              <w:t xml:space="preserve">is </w:t>
            </w:r>
            <w:r w:rsidRPr="00A90BDB">
              <w:rPr>
                <w:bCs/>
              </w:rPr>
              <w:t>encouraged.</w:t>
            </w:r>
          </w:p>
          <w:p w:rsidR="00A90BDB" w:rsidRDefault="00A90BDB" w:rsidP="00A90BDB">
            <w:pPr>
              <w:pStyle w:val="TableParagraph"/>
              <w:rPr>
                <w:bCs/>
              </w:rPr>
            </w:pPr>
          </w:p>
          <w:p w:rsidR="00A90BDB" w:rsidRPr="00A90BDB" w:rsidRDefault="00A90BDB" w:rsidP="00A90BDB">
            <w:pPr>
              <w:pStyle w:val="TableParagraph"/>
              <w:rPr>
                <w:bCs/>
              </w:rPr>
            </w:pPr>
          </w:p>
          <w:p w:rsidR="00A90BDB" w:rsidRDefault="00A90BDB" w:rsidP="00A90BDB">
            <w:pPr>
              <w:pStyle w:val="TableParagraph"/>
              <w:rPr>
                <w:bCs/>
              </w:rPr>
            </w:pPr>
            <w:r w:rsidRPr="00A90BDB">
              <w:rPr>
                <w:bCs/>
              </w:rPr>
              <w:t xml:space="preserve">We continue to be sensitive on the issue of social distancing and wearing </w:t>
            </w:r>
            <w:r>
              <w:rPr>
                <w:bCs/>
              </w:rPr>
              <w:t xml:space="preserve">of </w:t>
            </w:r>
            <w:r w:rsidRPr="00A90BDB">
              <w:rPr>
                <w:bCs/>
              </w:rPr>
              <w:t>face coverings</w:t>
            </w:r>
            <w:r>
              <w:rPr>
                <w:bCs/>
              </w:rPr>
              <w:t>, (worn at an individual’s own discretion).</w:t>
            </w:r>
          </w:p>
          <w:p w:rsidR="00A90BDB" w:rsidRPr="00A90BDB" w:rsidRDefault="00A90BDB" w:rsidP="00A90BDB">
            <w:pPr>
              <w:pStyle w:val="TableParagraph"/>
              <w:rPr>
                <w:bCs/>
              </w:rPr>
            </w:pPr>
          </w:p>
          <w:p w:rsidR="00A90BDB" w:rsidRDefault="00A90BDB" w:rsidP="00A90BDB">
            <w:pPr>
              <w:pStyle w:val="TableParagraph"/>
              <w:rPr>
                <w:bCs/>
              </w:rPr>
            </w:pPr>
            <w:r w:rsidRPr="00A90BDB">
              <w:rPr>
                <w:bCs/>
              </w:rPr>
              <w:t>The premises will be well ventilated, with the doors (except fire doors) open as far as convenient.</w:t>
            </w:r>
          </w:p>
          <w:p w:rsidR="008C5309" w:rsidRDefault="008C5309" w:rsidP="00A90BDB">
            <w:pPr>
              <w:pStyle w:val="TableParagraph"/>
              <w:rPr>
                <w:bCs/>
              </w:rPr>
            </w:pPr>
          </w:p>
          <w:p w:rsidR="008C5309" w:rsidRDefault="008C5309" w:rsidP="00A90BDB">
            <w:pPr>
              <w:pStyle w:val="TableParagraph"/>
              <w:rPr>
                <w:bCs/>
              </w:rPr>
            </w:pPr>
            <w:r w:rsidRPr="008C5309">
              <w:rPr>
                <w:bCs/>
              </w:rPr>
              <w:t>The numbers of people attending will be in line with the group’s risk assessment and any prevailing advice from relevant bodies</w:t>
            </w:r>
          </w:p>
          <w:p w:rsidR="00826CD2" w:rsidRPr="00A90BDB" w:rsidRDefault="00826CD2" w:rsidP="00A90BDB">
            <w:pPr>
              <w:pStyle w:val="TableParagraph"/>
              <w:rPr>
                <w:bCs/>
              </w:rPr>
            </w:pPr>
          </w:p>
          <w:p w:rsidR="00155742" w:rsidRDefault="00155742" w:rsidP="00856F75">
            <w:pPr>
              <w:pStyle w:val="TableParagraph"/>
              <w:ind w:right="133"/>
              <w:rPr>
                <w:bCs/>
              </w:rPr>
            </w:pPr>
          </w:p>
          <w:p w:rsidR="004219B7" w:rsidRDefault="004219B7" w:rsidP="004219B7">
            <w:pPr>
              <w:pStyle w:val="TableParagraph"/>
              <w:ind w:right="170"/>
              <w:rPr>
                <w:bCs/>
              </w:rPr>
            </w:pPr>
            <w:r w:rsidRPr="001255E2">
              <w:rPr>
                <w:bCs/>
              </w:rPr>
              <w:t xml:space="preserve">Door handles, light switches, and all surfaces used frequently </w:t>
            </w:r>
            <w:r>
              <w:rPr>
                <w:bCs/>
              </w:rPr>
              <w:t xml:space="preserve">to be sanitised before leaving. </w:t>
            </w:r>
          </w:p>
          <w:p w:rsidR="004219B7" w:rsidRDefault="004219B7" w:rsidP="004219B7">
            <w:pPr>
              <w:pStyle w:val="TableParagraph"/>
              <w:ind w:right="170"/>
              <w:rPr>
                <w:bCs/>
              </w:rPr>
            </w:pPr>
          </w:p>
          <w:p w:rsidR="00A64340" w:rsidRDefault="004219B7" w:rsidP="004219B7">
            <w:pPr>
              <w:pStyle w:val="TableParagraph"/>
              <w:ind w:right="170"/>
              <w:rPr>
                <w:b/>
              </w:rPr>
            </w:pPr>
            <w:r w:rsidRPr="006F0E7A">
              <w:rPr>
                <w:bCs/>
              </w:rPr>
              <w:t xml:space="preserve">There is a requirement to sign the form relating to each group to confirm </w:t>
            </w:r>
            <w:r>
              <w:rPr>
                <w:bCs/>
              </w:rPr>
              <w:t>cleaning.</w:t>
            </w:r>
          </w:p>
        </w:tc>
        <w:tc>
          <w:tcPr>
            <w:tcW w:w="3464" w:type="dxa"/>
          </w:tcPr>
          <w:p w:rsidR="00676057" w:rsidRDefault="001C1003" w:rsidP="00676057">
            <w:pPr>
              <w:pStyle w:val="TableParagraph"/>
              <w:ind w:right="735"/>
            </w:pPr>
            <w:r>
              <w:t>Special conditions for hirers</w:t>
            </w:r>
            <w:r w:rsidR="00676057">
              <w:t>’</w:t>
            </w:r>
            <w:r>
              <w:t xml:space="preserve"> sheet produced</w:t>
            </w:r>
            <w:r w:rsidR="00676057">
              <w:t>. All users advised.</w:t>
            </w:r>
          </w:p>
          <w:p w:rsidR="004219B7" w:rsidRDefault="004219B7" w:rsidP="00676057">
            <w:pPr>
              <w:pStyle w:val="TableParagraph"/>
              <w:ind w:right="735"/>
            </w:pPr>
          </w:p>
          <w:p w:rsidR="005720A5" w:rsidRDefault="005720A5" w:rsidP="00484518">
            <w:pPr>
              <w:pStyle w:val="TableParagraph"/>
              <w:ind w:right="735"/>
            </w:pPr>
            <w:r>
              <w:t xml:space="preserve">Hand Sanitiser </w:t>
            </w:r>
            <w:r w:rsidR="004219B7">
              <w:t xml:space="preserve">available </w:t>
            </w:r>
            <w:r>
              <w:t xml:space="preserve">in </w:t>
            </w:r>
            <w:r w:rsidR="004219B7">
              <w:t xml:space="preserve">the </w:t>
            </w:r>
            <w:r>
              <w:t xml:space="preserve">entrance. Needs to be checked </w:t>
            </w:r>
            <w:r w:rsidR="00E026CE" w:rsidRPr="00111AEC">
              <w:t>regularly</w:t>
            </w:r>
            <w:r w:rsidR="00111AEC">
              <w:t xml:space="preserve"> </w:t>
            </w:r>
          </w:p>
          <w:p w:rsidR="005720A5" w:rsidRDefault="005720A5" w:rsidP="005720A5">
            <w:pPr>
              <w:pStyle w:val="TableParagraph"/>
              <w:ind w:right="735"/>
            </w:pPr>
          </w:p>
          <w:p w:rsidR="004219B7" w:rsidRDefault="004219B7" w:rsidP="005720A5">
            <w:pPr>
              <w:pStyle w:val="TableParagraph"/>
              <w:ind w:right="735"/>
            </w:pPr>
          </w:p>
          <w:p w:rsidR="004219B7" w:rsidRDefault="004219B7" w:rsidP="005720A5">
            <w:pPr>
              <w:pStyle w:val="TableParagraph"/>
              <w:ind w:right="735"/>
            </w:pPr>
          </w:p>
          <w:p w:rsidR="004219B7" w:rsidRDefault="004219B7" w:rsidP="005720A5">
            <w:pPr>
              <w:pStyle w:val="TableParagraph"/>
              <w:ind w:right="735"/>
            </w:pPr>
          </w:p>
          <w:p w:rsidR="004219B7" w:rsidRDefault="004219B7" w:rsidP="005720A5">
            <w:pPr>
              <w:pStyle w:val="TableParagraph"/>
              <w:ind w:right="735"/>
            </w:pPr>
          </w:p>
          <w:p w:rsidR="004219B7" w:rsidRDefault="004219B7" w:rsidP="005720A5">
            <w:pPr>
              <w:pStyle w:val="TableParagraph"/>
              <w:ind w:right="735"/>
            </w:pPr>
          </w:p>
          <w:p w:rsidR="004219B7" w:rsidRDefault="004219B7" w:rsidP="005720A5">
            <w:pPr>
              <w:pStyle w:val="TableParagraph"/>
              <w:ind w:right="735"/>
            </w:pPr>
          </w:p>
          <w:p w:rsidR="004219B7" w:rsidRDefault="004219B7" w:rsidP="005720A5">
            <w:pPr>
              <w:pStyle w:val="TableParagraph"/>
              <w:ind w:right="735"/>
            </w:pPr>
          </w:p>
          <w:p w:rsidR="008C5309" w:rsidRDefault="008C5309" w:rsidP="004219B7">
            <w:pPr>
              <w:pStyle w:val="TableParagraph"/>
              <w:ind w:right="170"/>
              <w:rPr>
                <w:bCs/>
              </w:rPr>
            </w:pPr>
          </w:p>
          <w:p w:rsidR="008C5309" w:rsidRDefault="008C5309" w:rsidP="004219B7">
            <w:pPr>
              <w:pStyle w:val="TableParagraph"/>
              <w:ind w:right="170"/>
              <w:rPr>
                <w:bCs/>
              </w:rPr>
            </w:pPr>
          </w:p>
          <w:p w:rsidR="008C5309" w:rsidRDefault="008C5309" w:rsidP="004219B7">
            <w:pPr>
              <w:pStyle w:val="TableParagraph"/>
              <w:ind w:right="170"/>
              <w:rPr>
                <w:bCs/>
              </w:rPr>
            </w:pPr>
          </w:p>
          <w:p w:rsidR="008C5309" w:rsidRDefault="008C5309" w:rsidP="004219B7">
            <w:pPr>
              <w:pStyle w:val="TableParagraph"/>
              <w:ind w:right="170"/>
              <w:rPr>
                <w:bCs/>
              </w:rPr>
            </w:pPr>
          </w:p>
          <w:p w:rsidR="00484518" w:rsidRDefault="00484518" w:rsidP="004219B7">
            <w:pPr>
              <w:pStyle w:val="TableParagraph"/>
              <w:ind w:right="170"/>
              <w:rPr>
                <w:bCs/>
              </w:rPr>
            </w:pPr>
          </w:p>
          <w:p w:rsidR="00484518" w:rsidRDefault="00484518" w:rsidP="004219B7">
            <w:pPr>
              <w:pStyle w:val="TableParagraph"/>
              <w:ind w:right="170"/>
              <w:rPr>
                <w:bCs/>
              </w:rPr>
            </w:pPr>
          </w:p>
          <w:p w:rsidR="008C5309" w:rsidRDefault="008C5309" w:rsidP="004219B7">
            <w:pPr>
              <w:pStyle w:val="TableParagraph"/>
              <w:ind w:right="170"/>
              <w:rPr>
                <w:bCs/>
              </w:rPr>
            </w:pPr>
          </w:p>
          <w:p w:rsidR="004219B7" w:rsidRDefault="004219B7" w:rsidP="004219B7">
            <w:pPr>
              <w:pStyle w:val="TableParagraph"/>
              <w:ind w:right="170"/>
              <w:rPr>
                <w:bCs/>
              </w:rPr>
            </w:pPr>
            <w:r>
              <w:rPr>
                <w:bCs/>
              </w:rPr>
              <w:t>Cleaning chemicals will be kept under the sink in the kitchen. Cleaning cloths will be available.</w:t>
            </w:r>
          </w:p>
          <w:p w:rsidR="004219B7" w:rsidRDefault="004219B7" w:rsidP="004219B7">
            <w:pPr>
              <w:pStyle w:val="TableParagraph"/>
              <w:ind w:left="0" w:right="735"/>
            </w:pPr>
          </w:p>
          <w:p w:rsidR="004219B7" w:rsidRDefault="004219B7" w:rsidP="004219B7">
            <w:pPr>
              <w:pStyle w:val="TableParagraph"/>
              <w:ind w:left="0" w:right="735"/>
            </w:pPr>
            <w:r>
              <w:t xml:space="preserve"> Forms available in  the  </w:t>
            </w:r>
          </w:p>
          <w:p w:rsidR="004219B7" w:rsidRDefault="004219B7" w:rsidP="004219B7">
            <w:pPr>
              <w:pStyle w:val="TableParagraph"/>
              <w:ind w:left="0" w:right="735"/>
            </w:pPr>
            <w:r>
              <w:t xml:space="preserve"> kitchen</w:t>
            </w:r>
          </w:p>
        </w:tc>
      </w:tr>
    </w:tbl>
    <w:p w:rsidR="007040A5" w:rsidRDefault="007040A5">
      <w:pPr>
        <w:spacing w:line="246" w:lineRule="exact"/>
        <w:sectPr w:rsidR="007040A5">
          <w:pgSz w:w="16840" w:h="11910" w:orient="landscape"/>
          <w:pgMar w:top="1520" w:right="1320" w:bottom="1160" w:left="1340" w:header="564" w:footer="963" w:gutter="0"/>
          <w:cols w:space="720"/>
        </w:sectPr>
      </w:pPr>
    </w:p>
    <w:p w:rsidR="007040A5" w:rsidRDefault="007040A5">
      <w:pPr>
        <w:pStyle w:val="BodyText"/>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5"/>
        <w:gridCol w:w="3284"/>
        <w:gridCol w:w="3538"/>
        <w:gridCol w:w="3464"/>
      </w:tblGrid>
      <w:tr w:rsidR="00DB50CF" w:rsidTr="000A0CB2">
        <w:trPr>
          <w:trHeight w:val="532"/>
        </w:trPr>
        <w:tc>
          <w:tcPr>
            <w:tcW w:w="3665" w:type="dxa"/>
          </w:tcPr>
          <w:p w:rsidR="00DB50CF" w:rsidRDefault="00DB50CF" w:rsidP="00556529">
            <w:pPr>
              <w:pStyle w:val="TableParagraph"/>
              <w:rPr>
                <w:b/>
              </w:rPr>
            </w:pPr>
            <w:bookmarkStart w:id="5" w:name="_Hlk46925719"/>
            <w:r>
              <w:rPr>
                <w:b/>
              </w:rPr>
              <w:t>Area or People at Risk</w:t>
            </w:r>
          </w:p>
        </w:tc>
        <w:tc>
          <w:tcPr>
            <w:tcW w:w="3284" w:type="dxa"/>
          </w:tcPr>
          <w:p w:rsidR="00DB50CF" w:rsidRDefault="00DB50CF" w:rsidP="00556529">
            <w:pPr>
              <w:pStyle w:val="TableParagraph"/>
              <w:rPr>
                <w:b/>
              </w:rPr>
            </w:pPr>
            <w:r>
              <w:rPr>
                <w:b/>
              </w:rPr>
              <w:t>Risk identified</w:t>
            </w:r>
          </w:p>
        </w:tc>
        <w:tc>
          <w:tcPr>
            <w:tcW w:w="3538" w:type="dxa"/>
          </w:tcPr>
          <w:p w:rsidR="00B70AAB" w:rsidRDefault="00DB50CF" w:rsidP="00B70AAB">
            <w:pPr>
              <w:pStyle w:val="TableParagraph"/>
              <w:spacing w:before="7" w:line="266" w:lineRule="exact"/>
              <w:ind w:right="462"/>
              <w:rPr>
                <w:b/>
              </w:rPr>
            </w:pPr>
            <w:r>
              <w:rPr>
                <w:b/>
              </w:rPr>
              <w:t>Actions to take to mitigate risk</w:t>
            </w:r>
          </w:p>
        </w:tc>
        <w:tc>
          <w:tcPr>
            <w:tcW w:w="3464" w:type="dxa"/>
          </w:tcPr>
          <w:p w:rsidR="00DB50CF" w:rsidRDefault="00EC3012" w:rsidP="00556529">
            <w:pPr>
              <w:pStyle w:val="TableParagraph"/>
              <w:rPr>
                <w:b/>
              </w:rPr>
            </w:pPr>
            <w:r>
              <w:rPr>
                <w:b/>
              </w:rPr>
              <w:t>Action Taken</w:t>
            </w:r>
          </w:p>
        </w:tc>
      </w:tr>
      <w:bookmarkEnd w:id="5"/>
      <w:tr w:rsidR="007040A5" w:rsidTr="00A64340">
        <w:trPr>
          <w:trHeight w:val="132"/>
        </w:trPr>
        <w:tc>
          <w:tcPr>
            <w:tcW w:w="3665" w:type="dxa"/>
          </w:tcPr>
          <w:p w:rsidR="007040A5" w:rsidRDefault="00096232" w:rsidP="007809D9">
            <w:pPr>
              <w:pStyle w:val="TableParagraph"/>
              <w:ind w:left="0"/>
              <w:rPr>
                <w:rFonts w:ascii="Times New Roman"/>
              </w:rPr>
            </w:pPr>
            <w:r>
              <w:t xml:space="preserve"> </w:t>
            </w:r>
            <w:r w:rsidR="00DB50CF">
              <w:t xml:space="preserve">Main </w:t>
            </w:r>
            <w:r w:rsidR="00D16602">
              <w:t xml:space="preserve">Hall </w:t>
            </w:r>
            <w:r w:rsidR="00944A90">
              <w:t>- All users</w:t>
            </w:r>
          </w:p>
        </w:tc>
        <w:tc>
          <w:tcPr>
            <w:tcW w:w="3284" w:type="dxa"/>
          </w:tcPr>
          <w:p w:rsidR="00E026CE" w:rsidRDefault="00E026CE">
            <w:pPr>
              <w:pStyle w:val="TableParagraph"/>
              <w:ind w:right="224"/>
            </w:pPr>
            <w:r>
              <w:t>Contamination from floor contact</w:t>
            </w:r>
          </w:p>
          <w:p w:rsidR="00E026CE" w:rsidRDefault="00E026CE">
            <w:pPr>
              <w:pStyle w:val="TableParagraph"/>
              <w:ind w:right="224"/>
            </w:pPr>
          </w:p>
          <w:p w:rsidR="00450397" w:rsidRDefault="00450397">
            <w:pPr>
              <w:pStyle w:val="TableParagraph"/>
              <w:ind w:right="224"/>
            </w:pPr>
          </w:p>
          <w:p w:rsidR="00450397" w:rsidRDefault="00450397">
            <w:pPr>
              <w:pStyle w:val="TableParagraph"/>
              <w:ind w:right="224"/>
            </w:pPr>
          </w:p>
          <w:p w:rsidR="00450397" w:rsidRDefault="00450397">
            <w:pPr>
              <w:pStyle w:val="TableParagraph"/>
              <w:ind w:right="224"/>
            </w:pPr>
          </w:p>
          <w:p w:rsidR="007040A5" w:rsidRDefault="007040A5">
            <w:pPr>
              <w:pStyle w:val="TableParagraph"/>
              <w:ind w:right="224"/>
            </w:pPr>
          </w:p>
          <w:p w:rsidR="00944A90" w:rsidRDefault="00944A90">
            <w:pPr>
              <w:pStyle w:val="TableParagraph"/>
              <w:ind w:right="972"/>
            </w:pPr>
          </w:p>
          <w:p w:rsidR="00944A90" w:rsidRDefault="00944A90">
            <w:pPr>
              <w:pStyle w:val="TableParagraph"/>
              <w:ind w:right="972"/>
            </w:pPr>
          </w:p>
          <w:p w:rsidR="002967F8" w:rsidRDefault="002967F8" w:rsidP="00A64340">
            <w:pPr>
              <w:pStyle w:val="TableParagraph"/>
              <w:ind w:right="972"/>
            </w:pPr>
          </w:p>
        </w:tc>
        <w:tc>
          <w:tcPr>
            <w:tcW w:w="3538" w:type="dxa"/>
          </w:tcPr>
          <w:p w:rsidR="00E026CE" w:rsidRPr="00410FE6" w:rsidRDefault="00E026CE" w:rsidP="00EA672B">
            <w:pPr>
              <w:pStyle w:val="TableParagraph"/>
              <w:ind w:right="203"/>
              <w:rPr>
                <w:bCs/>
              </w:rPr>
            </w:pPr>
            <w:r w:rsidRPr="00410FE6">
              <w:rPr>
                <w:bCs/>
              </w:rPr>
              <w:t xml:space="preserve">The floor to be </w:t>
            </w:r>
            <w:r w:rsidR="00450397" w:rsidRPr="00A419EF">
              <w:rPr>
                <w:bCs/>
              </w:rPr>
              <w:t xml:space="preserve">mopped a minimum once a week </w:t>
            </w:r>
            <w:r w:rsidR="00450397">
              <w:rPr>
                <w:bCs/>
              </w:rPr>
              <w:t>as the responsibility of the PCC</w:t>
            </w:r>
          </w:p>
          <w:p w:rsidR="00E026CE" w:rsidRDefault="00E026CE" w:rsidP="00EA672B">
            <w:pPr>
              <w:pStyle w:val="TableParagraph"/>
              <w:ind w:right="203"/>
              <w:rPr>
                <w:bCs/>
              </w:rPr>
            </w:pPr>
          </w:p>
          <w:p w:rsidR="004219B7" w:rsidRPr="00410FE6" w:rsidRDefault="004219B7" w:rsidP="004219B7">
            <w:pPr>
              <w:pStyle w:val="TableParagraph"/>
              <w:ind w:right="145"/>
            </w:pPr>
            <w:r>
              <w:t xml:space="preserve">Any </w:t>
            </w:r>
            <w:r w:rsidRPr="00A419EF">
              <w:t>spillage or mess to be cleaned up by individual groups</w:t>
            </w:r>
          </w:p>
          <w:p w:rsidR="004219B7" w:rsidRDefault="004219B7" w:rsidP="00EA672B">
            <w:pPr>
              <w:pStyle w:val="TableParagraph"/>
              <w:ind w:right="203"/>
              <w:rPr>
                <w:bCs/>
              </w:rPr>
            </w:pPr>
          </w:p>
          <w:p w:rsidR="00450397" w:rsidRDefault="00450397" w:rsidP="00EA672B">
            <w:pPr>
              <w:pStyle w:val="TableParagraph"/>
              <w:ind w:right="203"/>
              <w:rPr>
                <w:bCs/>
              </w:rPr>
            </w:pPr>
          </w:p>
          <w:p w:rsidR="00CA40A5" w:rsidRPr="00F829CB" w:rsidRDefault="00CA40A5" w:rsidP="00551BDC">
            <w:pPr>
              <w:pStyle w:val="TableParagraph"/>
              <w:ind w:right="145"/>
              <w:rPr>
                <w:bCs/>
              </w:rPr>
            </w:pPr>
          </w:p>
          <w:p w:rsidR="00944A90" w:rsidRPr="008C5309" w:rsidRDefault="00944A90" w:rsidP="008C5309">
            <w:pPr>
              <w:pStyle w:val="TableParagraph"/>
              <w:ind w:right="145"/>
            </w:pPr>
          </w:p>
        </w:tc>
        <w:tc>
          <w:tcPr>
            <w:tcW w:w="3464" w:type="dxa"/>
          </w:tcPr>
          <w:p w:rsidR="00A64340" w:rsidRDefault="00450397" w:rsidP="00A64340">
            <w:pPr>
              <w:pStyle w:val="TableParagraph"/>
              <w:ind w:right="203"/>
            </w:pPr>
            <w:r>
              <w:t>Special conditions for hirers’ sheet produced</w:t>
            </w:r>
          </w:p>
          <w:p w:rsidR="004219B7" w:rsidRDefault="004219B7" w:rsidP="002967F8">
            <w:pPr>
              <w:pStyle w:val="TableParagraph"/>
              <w:ind w:right="145"/>
              <w:jc w:val="both"/>
            </w:pPr>
          </w:p>
          <w:p w:rsidR="004219B7" w:rsidRDefault="004219B7" w:rsidP="002967F8">
            <w:pPr>
              <w:pStyle w:val="TableParagraph"/>
              <w:ind w:right="145"/>
              <w:jc w:val="both"/>
            </w:pPr>
          </w:p>
          <w:p w:rsidR="008C5309" w:rsidRPr="00F829CB" w:rsidRDefault="008C5309" w:rsidP="008C5309">
            <w:pPr>
              <w:pStyle w:val="TableParagraph"/>
              <w:ind w:right="145"/>
              <w:jc w:val="both"/>
              <w:rPr>
                <w:bCs/>
              </w:rPr>
            </w:pPr>
            <w:r>
              <w:t>Bins are provided</w:t>
            </w:r>
          </w:p>
          <w:p w:rsidR="008C5309" w:rsidRDefault="008C5309" w:rsidP="008C5309">
            <w:pPr>
              <w:pStyle w:val="TableParagraph"/>
              <w:ind w:right="203"/>
              <w:jc w:val="both"/>
            </w:pPr>
            <w:r>
              <w:t xml:space="preserve">Users to empty bins and replace the liner. </w:t>
            </w:r>
          </w:p>
          <w:p w:rsidR="00410FE6" w:rsidRDefault="00410FE6" w:rsidP="008C5309">
            <w:pPr>
              <w:pStyle w:val="TableParagraph"/>
              <w:ind w:right="203"/>
              <w:jc w:val="both"/>
            </w:pPr>
          </w:p>
        </w:tc>
      </w:tr>
      <w:tr w:rsidR="008C5309" w:rsidTr="00A64340">
        <w:trPr>
          <w:trHeight w:val="132"/>
        </w:trPr>
        <w:tc>
          <w:tcPr>
            <w:tcW w:w="3665" w:type="dxa"/>
          </w:tcPr>
          <w:p w:rsidR="008C5309" w:rsidRDefault="008C5309" w:rsidP="00CF1E87">
            <w:pPr>
              <w:pStyle w:val="TableParagraph"/>
              <w:ind w:left="0"/>
            </w:pPr>
            <w:r>
              <w:t xml:space="preserve">Main Hall - All users </w:t>
            </w:r>
          </w:p>
        </w:tc>
        <w:tc>
          <w:tcPr>
            <w:tcW w:w="3284" w:type="dxa"/>
          </w:tcPr>
          <w:p w:rsidR="008C5309" w:rsidRDefault="008C5309" w:rsidP="008C5309">
            <w:pPr>
              <w:pStyle w:val="TableParagraph"/>
              <w:ind w:right="972"/>
            </w:pPr>
            <w:r>
              <w:t>Contact tracing in the event of a user testing positive for Covid-19</w:t>
            </w:r>
          </w:p>
          <w:p w:rsidR="008C5309" w:rsidRDefault="008C5309" w:rsidP="008C5309">
            <w:pPr>
              <w:pStyle w:val="TableParagraph"/>
              <w:ind w:right="972"/>
            </w:pPr>
          </w:p>
          <w:p w:rsidR="008C5309" w:rsidRDefault="008C5309" w:rsidP="008C5309">
            <w:pPr>
              <w:pStyle w:val="TableParagraph"/>
              <w:ind w:right="972"/>
            </w:pPr>
          </w:p>
          <w:p w:rsidR="00826CD2" w:rsidRDefault="00826CD2" w:rsidP="008C5309">
            <w:pPr>
              <w:pStyle w:val="TableParagraph"/>
              <w:ind w:right="972"/>
            </w:pPr>
          </w:p>
          <w:p w:rsidR="00826CD2" w:rsidRDefault="00826CD2" w:rsidP="008C5309">
            <w:pPr>
              <w:pStyle w:val="TableParagraph"/>
              <w:ind w:right="972"/>
            </w:pPr>
          </w:p>
          <w:p w:rsidR="008C5309" w:rsidRDefault="008C5309" w:rsidP="008C5309">
            <w:pPr>
              <w:pStyle w:val="TableParagraph"/>
              <w:ind w:right="281"/>
            </w:pPr>
            <w:r>
              <w:t>Someone taking ill on the premises</w:t>
            </w:r>
          </w:p>
        </w:tc>
        <w:tc>
          <w:tcPr>
            <w:tcW w:w="3538" w:type="dxa"/>
          </w:tcPr>
          <w:p w:rsidR="008C5309" w:rsidRPr="00826CD2" w:rsidRDefault="008C5309" w:rsidP="008C5309">
            <w:pPr>
              <w:pStyle w:val="TableParagraph"/>
              <w:spacing w:before="7" w:line="266" w:lineRule="exact"/>
              <w:ind w:right="451"/>
              <w:rPr>
                <w:color w:val="FF0000"/>
              </w:rPr>
            </w:pPr>
            <w:r w:rsidRPr="00944A90">
              <w:t xml:space="preserve">All users to maintain a </w:t>
            </w:r>
            <w:r>
              <w:t xml:space="preserve">temporary </w:t>
            </w:r>
            <w:r w:rsidRPr="00944A90">
              <w:t xml:space="preserve">list of people </w:t>
            </w:r>
            <w:r w:rsidRPr="004F2960">
              <w:t>attending, with contact details, for 3 weeks.</w:t>
            </w:r>
            <w:r w:rsidR="00826CD2" w:rsidRPr="004F2960">
              <w:t xml:space="preserve"> Or to ensure people use the QR code</w:t>
            </w:r>
          </w:p>
          <w:p w:rsidR="008C5309" w:rsidRDefault="008C5309" w:rsidP="008C5309">
            <w:pPr>
              <w:pStyle w:val="TableParagraph"/>
              <w:spacing w:before="7" w:line="266" w:lineRule="exact"/>
              <w:ind w:right="451"/>
            </w:pPr>
          </w:p>
          <w:p w:rsidR="008C5309" w:rsidRDefault="008C5309" w:rsidP="008C5309">
            <w:pPr>
              <w:pStyle w:val="TableParagraph"/>
              <w:ind w:right="281"/>
            </w:pPr>
            <w:r>
              <w:t>Emergency PPE to be used</w:t>
            </w:r>
          </w:p>
          <w:p w:rsidR="008C5309" w:rsidRDefault="008C5309" w:rsidP="008C5309">
            <w:pPr>
              <w:pStyle w:val="TableParagraph"/>
              <w:ind w:right="281"/>
            </w:pPr>
          </w:p>
          <w:p w:rsidR="008C5309" w:rsidRDefault="008C5309" w:rsidP="008C5309">
            <w:pPr>
              <w:pStyle w:val="TableParagraph"/>
              <w:ind w:right="281"/>
            </w:pPr>
          </w:p>
          <w:p w:rsidR="008C5309" w:rsidRDefault="008C5309" w:rsidP="008C5309">
            <w:pPr>
              <w:pStyle w:val="TableParagraph"/>
              <w:ind w:right="281"/>
            </w:pPr>
          </w:p>
          <w:p w:rsidR="008C5309" w:rsidRDefault="008C5309" w:rsidP="008C5309">
            <w:pPr>
              <w:pStyle w:val="TableParagraph"/>
              <w:ind w:right="281"/>
            </w:pPr>
          </w:p>
          <w:p w:rsidR="008C5309" w:rsidRDefault="008C5309" w:rsidP="008C5309">
            <w:pPr>
              <w:pStyle w:val="TableParagraph"/>
              <w:ind w:right="281"/>
            </w:pPr>
          </w:p>
          <w:p w:rsidR="008C5309" w:rsidRDefault="008C5309" w:rsidP="008C5309">
            <w:pPr>
              <w:pStyle w:val="TableParagraph"/>
              <w:ind w:right="281"/>
            </w:pPr>
          </w:p>
          <w:p w:rsidR="008C5309" w:rsidRDefault="008C5309" w:rsidP="008C5309">
            <w:pPr>
              <w:pStyle w:val="TableParagraph"/>
              <w:ind w:right="281"/>
            </w:pPr>
          </w:p>
          <w:p w:rsidR="008C5309" w:rsidRDefault="008C5309" w:rsidP="008C5309">
            <w:pPr>
              <w:pStyle w:val="TableParagraph"/>
              <w:ind w:right="281"/>
            </w:pPr>
          </w:p>
          <w:p w:rsidR="008C5309" w:rsidRDefault="008C5309" w:rsidP="008C5309">
            <w:pPr>
              <w:pStyle w:val="TableParagraph"/>
              <w:ind w:right="281"/>
            </w:pPr>
          </w:p>
          <w:p w:rsidR="008C5309" w:rsidRDefault="008C5309" w:rsidP="008C5309">
            <w:pPr>
              <w:pStyle w:val="TableParagraph"/>
              <w:ind w:right="281"/>
            </w:pPr>
          </w:p>
          <w:p w:rsidR="008C5309" w:rsidRDefault="008C5309" w:rsidP="008C5309">
            <w:pPr>
              <w:pStyle w:val="TableParagraph"/>
              <w:ind w:right="281"/>
            </w:pPr>
          </w:p>
          <w:p w:rsidR="008C5309" w:rsidRDefault="008C5309" w:rsidP="008C5309">
            <w:pPr>
              <w:pStyle w:val="TableParagraph"/>
              <w:ind w:right="281"/>
            </w:pPr>
          </w:p>
          <w:p w:rsidR="008C5309" w:rsidRPr="00410FE6" w:rsidRDefault="008C5309" w:rsidP="008C5309">
            <w:pPr>
              <w:pStyle w:val="TableParagraph"/>
              <w:ind w:right="281"/>
              <w:rPr>
                <w:bCs/>
              </w:rPr>
            </w:pPr>
          </w:p>
        </w:tc>
        <w:tc>
          <w:tcPr>
            <w:tcW w:w="3464" w:type="dxa"/>
          </w:tcPr>
          <w:p w:rsidR="008C5309" w:rsidRDefault="008C5309" w:rsidP="008C5309">
            <w:pPr>
              <w:pStyle w:val="TableParagraph"/>
              <w:ind w:left="0"/>
              <w:jc w:val="both"/>
            </w:pPr>
            <w:r>
              <w:t xml:space="preserve"> Users advised of the requirement.</w:t>
            </w:r>
          </w:p>
          <w:p w:rsidR="008C5309" w:rsidRDefault="008C5309" w:rsidP="008C5309">
            <w:pPr>
              <w:pStyle w:val="TableParagraph"/>
              <w:ind w:left="0"/>
              <w:jc w:val="both"/>
            </w:pPr>
          </w:p>
          <w:p w:rsidR="008C5309" w:rsidRDefault="008C5309" w:rsidP="008C5309">
            <w:pPr>
              <w:pStyle w:val="TableParagraph"/>
              <w:ind w:left="0"/>
              <w:jc w:val="both"/>
            </w:pPr>
            <w:r>
              <w:t xml:space="preserve"> </w:t>
            </w:r>
          </w:p>
          <w:p w:rsidR="008C5309" w:rsidRDefault="008C5309" w:rsidP="008C5309">
            <w:pPr>
              <w:pStyle w:val="TableParagraph"/>
              <w:ind w:left="0"/>
              <w:jc w:val="both"/>
            </w:pPr>
            <w:r>
              <w:t xml:space="preserve"> </w:t>
            </w:r>
          </w:p>
          <w:p w:rsidR="00826CD2" w:rsidRDefault="00826CD2" w:rsidP="008C5309">
            <w:pPr>
              <w:pStyle w:val="TableParagraph"/>
              <w:ind w:left="0"/>
              <w:jc w:val="both"/>
            </w:pPr>
          </w:p>
          <w:p w:rsidR="00826CD2" w:rsidRDefault="00826CD2" w:rsidP="008C5309">
            <w:pPr>
              <w:pStyle w:val="TableParagraph"/>
              <w:ind w:left="0"/>
              <w:jc w:val="both"/>
            </w:pPr>
          </w:p>
          <w:p w:rsidR="008C5309" w:rsidRPr="004F2960" w:rsidRDefault="008C5309" w:rsidP="008C5309">
            <w:pPr>
              <w:pStyle w:val="TableParagraph"/>
              <w:ind w:left="0"/>
              <w:jc w:val="both"/>
            </w:pPr>
          </w:p>
          <w:p w:rsidR="008C5309" w:rsidRPr="004F2960" w:rsidRDefault="008C5309" w:rsidP="008C5309">
            <w:pPr>
              <w:pStyle w:val="TableParagraph"/>
              <w:ind w:left="0"/>
              <w:jc w:val="both"/>
            </w:pPr>
            <w:r w:rsidRPr="004F2960">
              <w:t xml:space="preserve"> Emergency PPE kit available. </w:t>
            </w:r>
            <w:r w:rsidR="00826CD2" w:rsidRPr="004F2960">
              <w:t>In 1</w:t>
            </w:r>
            <w:r w:rsidR="00826CD2" w:rsidRPr="004F2960">
              <w:rPr>
                <w:vertAlign w:val="superscript"/>
              </w:rPr>
              <w:t>st</w:t>
            </w:r>
            <w:r w:rsidR="00826CD2" w:rsidRPr="004F2960">
              <w:t xml:space="preserve"> Aid cupboard in kitchen</w:t>
            </w:r>
          </w:p>
          <w:p w:rsidR="008C5309" w:rsidRDefault="008C5309" w:rsidP="008C5309">
            <w:pPr>
              <w:pStyle w:val="TableParagraph"/>
              <w:ind w:right="203"/>
            </w:pPr>
          </w:p>
          <w:p w:rsidR="008C5309" w:rsidRDefault="008C5309" w:rsidP="008C5309">
            <w:pPr>
              <w:pStyle w:val="TableParagraph"/>
              <w:ind w:right="203"/>
            </w:pPr>
          </w:p>
          <w:p w:rsidR="008C5309" w:rsidRDefault="008C5309" w:rsidP="008C5309">
            <w:pPr>
              <w:pStyle w:val="TableParagraph"/>
              <w:ind w:right="203"/>
            </w:pPr>
            <w:r w:rsidRPr="00A419EF">
              <w:t>F</w:t>
            </w:r>
            <w:r>
              <w:t xml:space="preserve">ollow requirements as to treatment plan. </w:t>
            </w:r>
          </w:p>
          <w:p w:rsidR="008C5309" w:rsidRDefault="008C5309" w:rsidP="008C5309">
            <w:pPr>
              <w:pStyle w:val="TableParagraph"/>
              <w:ind w:right="203"/>
            </w:pPr>
          </w:p>
          <w:p w:rsidR="008C5309" w:rsidRDefault="008C5309" w:rsidP="008C5309">
            <w:pPr>
              <w:pStyle w:val="TableParagraph"/>
              <w:ind w:right="203"/>
            </w:pPr>
          </w:p>
          <w:p w:rsidR="008C5309" w:rsidRDefault="008C5309" w:rsidP="008C5309">
            <w:pPr>
              <w:pStyle w:val="TableParagraph"/>
              <w:ind w:right="203"/>
            </w:pPr>
            <w:r>
              <w:t>Users must inform incumbent, warden or Lynne Hadfield if any item is used from box</w:t>
            </w:r>
          </w:p>
          <w:p w:rsidR="008C5309" w:rsidRDefault="008C5309" w:rsidP="008C5309">
            <w:pPr>
              <w:pStyle w:val="TableParagraph"/>
              <w:ind w:right="203"/>
            </w:pPr>
          </w:p>
          <w:p w:rsidR="008C5309" w:rsidRDefault="008C5309" w:rsidP="008C5309">
            <w:pPr>
              <w:pStyle w:val="TableParagraph"/>
              <w:ind w:right="203"/>
            </w:pPr>
          </w:p>
          <w:p w:rsidR="008C5309" w:rsidRDefault="008C5309" w:rsidP="008C5309">
            <w:pPr>
              <w:pStyle w:val="TableParagraph"/>
              <w:ind w:right="203"/>
            </w:pPr>
          </w:p>
        </w:tc>
      </w:tr>
      <w:tr w:rsidR="00B70AAB" w:rsidTr="00B70AAB">
        <w:trPr>
          <w:trHeight w:val="557"/>
        </w:trPr>
        <w:tc>
          <w:tcPr>
            <w:tcW w:w="3665" w:type="dxa"/>
          </w:tcPr>
          <w:p w:rsidR="00B70AAB" w:rsidRDefault="00B70AAB" w:rsidP="00B70AAB">
            <w:pPr>
              <w:pStyle w:val="TableParagraph"/>
            </w:pPr>
            <w:r>
              <w:rPr>
                <w:b/>
              </w:rPr>
              <w:lastRenderedPageBreak/>
              <w:t>Area or People at Risk</w:t>
            </w:r>
          </w:p>
        </w:tc>
        <w:tc>
          <w:tcPr>
            <w:tcW w:w="3284" w:type="dxa"/>
          </w:tcPr>
          <w:p w:rsidR="00B70AAB" w:rsidRPr="005B5464" w:rsidRDefault="00B70AAB" w:rsidP="00B70AAB">
            <w:pPr>
              <w:pStyle w:val="TableParagraph"/>
              <w:ind w:left="0" w:right="193"/>
            </w:pPr>
            <w:r>
              <w:rPr>
                <w:b/>
              </w:rPr>
              <w:t>Risk identified</w:t>
            </w:r>
          </w:p>
        </w:tc>
        <w:tc>
          <w:tcPr>
            <w:tcW w:w="3538" w:type="dxa"/>
          </w:tcPr>
          <w:p w:rsidR="00B70AAB" w:rsidRDefault="00B70AAB" w:rsidP="00B70AAB">
            <w:pPr>
              <w:pStyle w:val="TableParagraph"/>
              <w:ind w:right="140"/>
              <w:rPr>
                <w:bCs/>
              </w:rPr>
            </w:pPr>
            <w:r>
              <w:rPr>
                <w:b/>
              </w:rPr>
              <w:t>Actions to take to mitigate risk</w:t>
            </w:r>
          </w:p>
        </w:tc>
        <w:tc>
          <w:tcPr>
            <w:tcW w:w="3464" w:type="dxa"/>
          </w:tcPr>
          <w:p w:rsidR="00B70AAB" w:rsidRPr="005B5464" w:rsidRDefault="00B70AAB" w:rsidP="00B70AAB">
            <w:pPr>
              <w:pStyle w:val="TableParagraph"/>
              <w:spacing w:before="1" w:line="260" w:lineRule="atLeast"/>
              <w:ind w:right="416"/>
            </w:pPr>
            <w:r>
              <w:rPr>
                <w:b/>
              </w:rPr>
              <w:t>Action Taken</w:t>
            </w:r>
          </w:p>
        </w:tc>
      </w:tr>
      <w:tr w:rsidR="000A0CB2" w:rsidTr="000A0CB2">
        <w:trPr>
          <w:trHeight w:val="2126"/>
        </w:trPr>
        <w:tc>
          <w:tcPr>
            <w:tcW w:w="3665" w:type="dxa"/>
          </w:tcPr>
          <w:p w:rsidR="008C5309" w:rsidRDefault="000A0CB2" w:rsidP="008C5309">
            <w:pPr>
              <w:pStyle w:val="TableParagraph"/>
            </w:pPr>
            <w:r>
              <w:t>Kitchen</w:t>
            </w:r>
            <w:r w:rsidR="00944A90">
              <w:t xml:space="preserve"> – </w:t>
            </w:r>
          </w:p>
          <w:p w:rsidR="00A45270" w:rsidRDefault="00A45270" w:rsidP="000A0CB2">
            <w:pPr>
              <w:pStyle w:val="TableParagraph"/>
            </w:pPr>
          </w:p>
        </w:tc>
        <w:tc>
          <w:tcPr>
            <w:tcW w:w="3284" w:type="dxa"/>
          </w:tcPr>
          <w:p w:rsidR="002C537D" w:rsidRPr="005B5464" w:rsidRDefault="002C537D" w:rsidP="007C32AF">
            <w:pPr>
              <w:pStyle w:val="TableParagraph"/>
              <w:ind w:left="0" w:right="193"/>
            </w:pPr>
            <w:r w:rsidRPr="005B5464">
              <w:t>Potential cross contamination</w:t>
            </w:r>
          </w:p>
          <w:p w:rsidR="002C537D" w:rsidRDefault="002C537D" w:rsidP="007C32AF">
            <w:pPr>
              <w:pStyle w:val="TableParagraph"/>
              <w:ind w:left="0" w:right="193"/>
              <w:rPr>
                <w:color w:val="92D050"/>
              </w:rPr>
            </w:pPr>
          </w:p>
          <w:p w:rsidR="002967F8" w:rsidRDefault="002967F8" w:rsidP="007C32AF">
            <w:pPr>
              <w:pStyle w:val="TableParagraph"/>
              <w:ind w:left="0" w:right="193"/>
              <w:rPr>
                <w:color w:val="92D050"/>
              </w:rPr>
            </w:pPr>
          </w:p>
          <w:p w:rsidR="002967F8" w:rsidRDefault="002967F8" w:rsidP="007C32AF">
            <w:pPr>
              <w:pStyle w:val="TableParagraph"/>
              <w:ind w:left="0" w:right="193"/>
              <w:rPr>
                <w:color w:val="92D050"/>
              </w:rPr>
            </w:pPr>
          </w:p>
          <w:p w:rsidR="002967F8" w:rsidRDefault="002967F8" w:rsidP="007C32AF">
            <w:pPr>
              <w:pStyle w:val="TableParagraph"/>
              <w:ind w:left="0" w:right="193"/>
              <w:rPr>
                <w:color w:val="92D050"/>
              </w:rPr>
            </w:pPr>
          </w:p>
          <w:p w:rsidR="002C537D" w:rsidRDefault="002C537D" w:rsidP="007C32AF">
            <w:pPr>
              <w:pStyle w:val="TableParagraph"/>
              <w:ind w:left="0" w:right="193"/>
              <w:rPr>
                <w:color w:val="92D050"/>
              </w:rPr>
            </w:pPr>
          </w:p>
          <w:p w:rsidR="000A0CB2" w:rsidRPr="00A45270" w:rsidRDefault="000A0CB2" w:rsidP="00790BB5">
            <w:pPr>
              <w:pStyle w:val="TableParagraph"/>
              <w:ind w:right="193"/>
              <w:rPr>
                <w:color w:val="FF0000"/>
              </w:rPr>
            </w:pPr>
          </w:p>
        </w:tc>
        <w:tc>
          <w:tcPr>
            <w:tcW w:w="3538" w:type="dxa"/>
          </w:tcPr>
          <w:p w:rsidR="00E819EA" w:rsidRDefault="00E819EA" w:rsidP="00BD0D99">
            <w:pPr>
              <w:pStyle w:val="TableParagraph"/>
              <w:spacing w:before="1" w:line="260" w:lineRule="atLeast"/>
              <w:ind w:right="476"/>
              <w:rPr>
                <w:bCs/>
              </w:rPr>
            </w:pPr>
            <w:r w:rsidRPr="00E819EA">
              <w:rPr>
                <w:bCs/>
              </w:rPr>
              <w:t>If using the kitchen to serve refreshments surfaces must be cleaned before and after use.</w:t>
            </w:r>
            <w:r>
              <w:rPr>
                <w:bCs/>
              </w:rPr>
              <w:t xml:space="preserve"> </w:t>
            </w:r>
          </w:p>
          <w:p w:rsidR="00E819EA" w:rsidRDefault="00E819EA" w:rsidP="00BD0D99">
            <w:pPr>
              <w:pStyle w:val="TableParagraph"/>
              <w:spacing w:before="1" w:line="260" w:lineRule="atLeast"/>
              <w:ind w:right="476"/>
              <w:rPr>
                <w:bCs/>
              </w:rPr>
            </w:pPr>
            <w:r w:rsidRPr="00E819EA">
              <w:rPr>
                <w:bCs/>
              </w:rPr>
              <w:t>Crockery and cutlery is to be left clean and put away.</w:t>
            </w:r>
          </w:p>
          <w:p w:rsidR="00E819EA" w:rsidRDefault="00E819EA" w:rsidP="00BD0D99">
            <w:pPr>
              <w:pStyle w:val="TableParagraph"/>
              <w:spacing w:before="1" w:line="260" w:lineRule="atLeast"/>
              <w:ind w:right="476"/>
              <w:rPr>
                <w:bCs/>
              </w:rPr>
            </w:pPr>
            <w:r>
              <w:rPr>
                <w:bCs/>
              </w:rPr>
              <w:t>Users to supply their own tea towels.</w:t>
            </w:r>
          </w:p>
          <w:p w:rsidR="00E819EA" w:rsidRPr="00E819EA" w:rsidRDefault="00E819EA" w:rsidP="00484518">
            <w:pPr>
              <w:pStyle w:val="TableParagraph"/>
              <w:spacing w:before="1" w:line="260" w:lineRule="atLeast"/>
              <w:ind w:right="476"/>
              <w:rPr>
                <w:color w:val="92D050"/>
              </w:rPr>
            </w:pPr>
            <w:r w:rsidRPr="00E819EA">
              <w:rPr>
                <w:bCs/>
              </w:rPr>
              <w:t>Those serving refreshments must wear face coverings and observe rigorous hand washing</w:t>
            </w:r>
            <w:r>
              <w:rPr>
                <w:bCs/>
              </w:rPr>
              <w:t>.</w:t>
            </w:r>
          </w:p>
        </w:tc>
        <w:tc>
          <w:tcPr>
            <w:tcW w:w="3464" w:type="dxa"/>
          </w:tcPr>
          <w:p w:rsidR="002C537D" w:rsidRPr="005B5464" w:rsidRDefault="002C537D" w:rsidP="000A0CB2">
            <w:pPr>
              <w:pStyle w:val="TableParagraph"/>
              <w:spacing w:before="1" w:line="260" w:lineRule="atLeast"/>
              <w:ind w:right="416"/>
            </w:pPr>
            <w:r w:rsidRPr="005B5464">
              <w:t>User Groups advised of what is required.</w:t>
            </w:r>
          </w:p>
          <w:p w:rsidR="002C537D" w:rsidRDefault="002C537D" w:rsidP="000A0CB2">
            <w:pPr>
              <w:pStyle w:val="TableParagraph"/>
              <w:spacing w:before="1" w:line="260" w:lineRule="atLeast"/>
              <w:ind w:right="416"/>
              <w:rPr>
                <w:color w:val="92D050"/>
              </w:rPr>
            </w:pPr>
          </w:p>
          <w:p w:rsidR="002967F8" w:rsidRDefault="002967F8" w:rsidP="000A0CB2">
            <w:pPr>
              <w:pStyle w:val="TableParagraph"/>
              <w:spacing w:before="1" w:line="260" w:lineRule="atLeast"/>
              <w:ind w:right="416"/>
              <w:rPr>
                <w:color w:val="92D050"/>
              </w:rPr>
            </w:pPr>
          </w:p>
          <w:p w:rsidR="002967F8" w:rsidRDefault="002967F8" w:rsidP="000A0CB2">
            <w:pPr>
              <w:pStyle w:val="TableParagraph"/>
              <w:spacing w:before="1" w:line="260" w:lineRule="atLeast"/>
              <w:ind w:right="416"/>
              <w:rPr>
                <w:color w:val="92D050"/>
              </w:rPr>
            </w:pPr>
          </w:p>
          <w:p w:rsidR="002967F8" w:rsidRDefault="002967F8" w:rsidP="000A0CB2">
            <w:pPr>
              <w:pStyle w:val="TableParagraph"/>
              <w:spacing w:before="1" w:line="260" w:lineRule="atLeast"/>
              <w:ind w:right="416"/>
              <w:rPr>
                <w:color w:val="92D050"/>
              </w:rPr>
            </w:pPr>
          </w:p>
          <w:p w:rsidR="007C32AF" w:rsidRPr="002C537D" w:rsidRDefault="007C32AF" w:rsidP="000A0CB2">
            <w:pPr>
              <w:pStyle w:val="TableParagraph"/>
              <w:spacing w:before="1" w:line="260" w:lineRule="atLeast"/>
              <w:ind w:right="416"/>
              <w:rPr>
                <w:color w:val="92D050"/>
              </w:rPr>
            </w:pPr>
          </w:p>
          <w:p w:rsidR="007C32AF" w:rsidRPr="002C537D" w:rsidRDefault="007C32AF" w:rsidP="007C32AF">
            <w:pPr>
              <w:pStyle w:val="TableParagraph"/>
              <w:ind w:right="221"/>
              <w:rPr>
                <w:color w:val="92D050"/>
              </w:rPr>
            </w:pPr>
          </w:p>
          <w:p w:rsidR="000A0CB2" w:rsidRPr="002C537D" w:rsidRDefault="000A0CB2" w:rsidP="000A0CB2">
            <w:pPr>
              <w:pStyle w:val="TableParagraph"/>
              <w:spacing w:before="1" w:line="260" w:lineRule="atLeast"/>
              <w:ind w:right="416"/>
              <w:rPr>
                <w:color w:val="92D050"/>
              </w:rPr>
            </w:pPr>
          </w:p>
          <w:p w:rsidR="000A0CB2" w:rsidRPr="002C537D" w:rsidRDefault="000A0CB2" w:rsidP="000A0CB2">
            <w:pPr>
              <w:pStyle w:val="TableParagraph"/>
              <w:spacing w:before="1" w:line="260" w:lineRule="atLeast"/>
              <w:ind w:right="416"/>
              <w:rPr>
                <w:color w:val="92D050"/>
              </w:rPr>
            </w:pPr>
          </w:p>
          <w:p w:rsidR="000A0CB2" w:rsidRPr="002C537D" w:rsidRDefault="000A0CB2" w:rsidP="00CB2528">
            <w:pPr>
              <w:pStyle w:val="TableParagraph"/>
              <w:spacing w:before="1" w:line="260" w:lineRule="atLeast"/>
              <w:ind w:right="416"/>
              <w:rPr>
                <w:color w:val="92D050"/>
              </w:rPr>
            </w:pPr>
          </w:p>
        </w:tc>
      </w:tr>
      <w:tr w:rsidR="00CF1E87" w:rsidTr="000A0CB2">
        <w:trPr>
          <w:trHeight w:val="2126"/>
        </w:trPr>
        <w:tc>
          <w:tcPr>
            <w:tcW w:w="3665" w:type="dxa"/>
          </w:tcPr>
          <w:p w:rsidR="00CF1E87" w:rsidRDefault="00CF1E87" w:rsidP="00CF1E87">
            <w:pPr>
              <w:pStyle w:val="TableParagraph"/>
              <w:spacing w:line="264" w:lineRule="exact"/>
            </w:pPr>
            <w:r>
              <w:t>Toilets – All users</w:t>
            </w:r>
          </w:p>
        </w:tc>
        <w:tc>
          <w:tcPr>
            <w:tcW w:w="3284" w:type="dxa"/>
          </w:tcPr>
          <w:p w:rsidR="00CF1E87" w:rsidRDefault="00CF1E87" w:rsidP="00CF1E87">
            <w:pPr>
              <w:pStyle w:val="TableParagraph"/>
              <w:ind w:right="379"/>
            </w:pPr>
            <w:r>
              <w:t>Insufficient hand washing facilities</w:t>
            </w:r>
          </w:p>
          <w:p w:rsidR="00F45E30" w:rsidRDefault="00F45E30" w:rsidP="00CF1E87">
            <w:pPr>
              <w:pStyle w:val="TableParagraph"/>
              <w:ind w:right="379"/>
            </w:pPr>
          </w:p>
          <w:p w:rsidR="00CF1E87" w:rsidRDefault="00CF1E87" w:rsidP="00CF1E87">
            <w:pPr>
              <w:pStyle w:val="TableParagraph"/>
              <w:ind w:right="379"/>
            </w:pPr>
          </w:p>
          <w:p w:rsidR="00CF1E87" w:rsidRDefault="00CF1E87" w:rsidP="00CF1E87">
            <w:pPr>
              <w:pStyle w:val="TableParagraph"/>
              <w:ind w:right="379"/>
            </w:pPr>
            <w:r>
              <w:t>Insufficient drying facilities.</w:t>
            </w:r>
          </w:p>
          <w:p w:rsidR="00CF1E87" w:rsidRDefault="00CF1E87" w:rsidP="00CF1E87">
            <w:pPr>
              <w:pStyle w:val="TableParagraph"/>
              <w:ind w:right="379"/>
            </w:pPr>
          </w:p>
          <w:p w:rsidR="00CF1E87" w:rsidRDefault="00CF1E87" w:rsidP="00CF1E87">
            <w:pPr>
              <w:pStyle w:val="TableParagraph"/>
              <w:ind w:right="379"/>
            </w:pPr>
          </w:p>
          <w:p w:rsidR="00484518" w:rsidRDefault="00484518" w:rsidP="00CF1E87">
            <w:pPr>
              <w:pStyle w:val="TableParagraph"/>
              <w:ind w:right="379"/>
            </w:pPr>
          </w:p>
          <w:p w:rsidR="00484518" w:rsidRDefault="00484518" w:rsidP="00CF1E87">
            <w:pPr>
              <w:pStyle w:val="TableParagraph"/>
              <w:ind w:right="379"/>
            </w:pPr>
          </w:p>
          <w:p w:rsidR="00484518" w:rsidRDefault="00484518" w:rsidP="00CF1E87">
            <w:pPr>
              <w:pStyle w:val="TableParagraph"/>
              <w:ind w:right="379"/>
            </w:pPr>
          </w:p>
          <w:p w:rsidR="00F45E30" w:rsidRDefault="00F45E30" w:rsidP="00CF1E87">
            <w:pPr>
              <w:pStyle w:val="TableParagraph"/>
              <w:ind w:right="379"/>
            </w:pPr>
          </w:p>
          <w:p w:rsidR="00484518" w:rsidRDefault="00484518" w:rsidP="00CF1E87">
            <w:pPr>
              <w:pStyle w:val="TableParagraph"/>
              <w:ind w:right="379"/>
            </w:pPr>
          </w:p>
          <w:p w:rsidR="00CF1E87" w:rsidRDefault="00CF1E87" w:rsidP="00CF1E87">
            <w:pPr>
              <w:pStyle w:val="TableParagraph"/>
              <w:ind w:right="379"/>
            </w:pPr>
            <w:r>
              <w:t>Contamination from door handles and light switches in frequent use.</w:t>
            </w:r>
          </w:p>
        </w:tc>
        <w:tc>
          <w:tcPr>
            <w:tcW w:w="3538" w:type="dxa"/>
          </w:tcPr>
          <w:p w:rsidR="00CF1E87" w:rsidRDefault="00CF1E87" w:rsidP="00CF1E87">
            <w:pPr>
              <w:pStyle w:val="TableParagraph"/>
              <w:ind w:right="140"/>
              <w:rPr>
                <w:bCs/>
              </w:rPr>
            </w:pPr>
            <w:r>
              <w:rPr>
                <w:bCs/>
              </w:rPr>
              <w:t xml:space="preserve">Sanitiser to be available at the entrance. Soap and water available at the hand wash basin. </w:t>
            </w:r>
          </w:p>
          <w:p w:rsidR="00F45E30" w:rsidRDefault="00F45E30" w:rsidP="00CF1E87">
            <w:pPr>
              <w:pStyle w:val="TableParagraph"/>
              <w:ind w:right="140"/>
              <w:rPr>
                <w:bCs/>
              </w:rPr>
            </w:pPr>
          </w:p>
          <w:p w:rsidR="00CF1E87" w:rsidRPr="00186451" w:rsidRDefault="00CF1E87" w:rsidP="00CF1E87">
            <w:pPr>
              <w:pStyle w:val="TableParagraph"/>
              <w:ind w:right="140"/>
              <w:rPr>
                <w:bCs/>
              </w:rPr>
            </w:pPr>
            <w:r>
              <w:rPr>
                <w:bCs/>
              </w:rPr>
              <w:t>Sufficient</w:t>
            </w:r>
            <w:r w:rsidRPr="00186451">
              <w:rPr>
                <w:bCs/>
              </w:rPr>
              <w:t xml:space="preserve"> </w:t>
            </w:r>
            <w:r>
              <w:rPr>
                <w:bCs/>
              </w:rPr>
              <w:t xml:space="preserve">disposable </w:t>
            </w:r>
            <w:r w:rsidRPr="00186451">
              <w:rPr>
                <w:bCs/>
              </w:rPr>
              <w:t xml:space="preserve">paper towels </w:t>
            </w:r>
            <w:r>
              <w:rPr>
                <w:bCs/>
              </w:rPr>
              <w:t>to be available.</w:t>
            </w:r>
          </w:p>
          <w:p w:rsidR="00CF1E87" w:rsidRDefault="00CF1E87" w:rsidP="00CF1E87">
            <w:pPr>
              <w:pStyle w:val="TableParagraph"/>
              <w:ind w:right="184"/>
              <w:rPr>
                <w:bCs/>
              </w:rPr>
            </w:pPr>
          </w:p>
          <w:p w:rsidR="00484518" w:rsidRDefault="00484518" w:rsidP="00CF1E87">
            <w:pPr>
              <w:pStyle w:val="TableParagraph"/>
              <w:ind w:right="184"/>
              <w:rPr>
                <w:bCs/>
              </w:rPr>
            </w:pPr>
          </w:p>
          <w:p w:rsidR="00484518" w:rsidRDefault="00484518" w:rsidP="00CF1E87">
            <w:pPr>
              <w:pStyle w:val="TableParagraph"/>
              <w:ind w:right="184"/>
              <w:rPr>
                <w:bCs/>
              </w:rPr>
            </w:pPr>
          </w:p>
          <w:p w:rsidR="00484518" w:rsidRDefault="00484518" w:rsidP="00CF1E87">
            <w:pPr>
              <w:pStyle w:val="TableParagraph"/>
              <w:ind w:right="184"/>
              <w:rPr>
                <w:bCs/>
              </w:rPr>
            </w:pPr>
          </w:p>
          <w:p w:rsidR="00F45E30" w:rsidRDefault="00F45E30" w:rsidP="00CF1E87">
            <w:pPr>
              <w:pStyle w:val="TableParagraph"/>
              <w:ind w:right="184"/>
              <w:rPr>
                <w:bCs/>
              </w:rPr>
            </w:pPr>
          </w:p>
          <w:p w:rsidR="00484518" w:rsidRDefault="00484518" w:rsidP="00CF1E87">
            <w:pPr>
              <w:pStyle w:val="TableParagraph"/>
              <w:ind w:right="184"/>
              <w:rPr>
                <w:bCs/>
              </w:rPr>
            </w:pPr>
          </w:p>
          <w:p w:rsidR="00CF1E87" w:rsidRDefault="00CF1E87" w:rsidP="00CF1E87">
            <w:pPr>
              <w:pStyle w:val="TableParagraph"/>
              <w:ind w:right="170"/>
              <w:rPr>
                <w:bCs/>
              </w:rPr>
            </w:pPr>
            <w:r w:rsidRPr="001255E2">
              <w:rPr>
                <w:bCs/>
              </w:rPr>
              <w:t xml:space="preserve">Door handles, light switches, and all surfaces used frequently </w:t>
            </w:r>
            <w:r>
              <w:rPr>
                <w:bCs/>
              </w:rPr>
              <w:t xml:space="preserve">to be sanitised before leaving. </w:t>
            </w:r>
          </w:p>
          <w:p w:rsidR="00484518" w:rsidRDefault="00484518" w:rsidP="00CF1E87">
            <w:pPr>
              <w:pStyle w:val="TableParagraph"/>
              <w:ind w:right="170"/>
              <w:rPr>
                <w:bCs/>
              </w:rPr>
            </w:pPr>
          </w:p>
          <w:p w:rsidR="00CF1E87" w:rsidRDefault="00CF1E87" w:rsidP="00CF1E87">
            <w:pPr>
              <w:pStyle w:val="TableParagraph"/>
              <w:ind w:right="184"/>
              <w:rPr>
                <w:b/>
              </w:rPr>
            </w:pPr>
            <w:r w:rsidRPr="006F0E7A">
              <w:rPr>
                <w:bCs/>
              </w:rPr>
              <w:t xml:space="preserve">There is a requirement to sign the form relating to each group to confirm </w:t>
            </w:r>
            <w:r>
              <w:rPr>
                <w:bCs/>
              </w:rPr>
              <w:t>cleaning.</w:t>
            </w:r>
          </w:p>
        </w:tc>
        <w:tc>
          <w:tcPr>
            <w:tcW w:w="3464" w:type="dxa"/>
          </w:tcPr>
          <w:p w:rsidR="00CF1E87" w:rsidRDefault="00CF1E87" w:rsidP="00CF1E87">
            <w:pPr>
              <w:pStyle w:val="TableParagraph"/>
              <w:ind w:right="288"/>
            </w:pPr>
          </w:p>
          <w:p w:rsidR="00826CD2" w:rsidRDefault="00826CD2" w:rsidP="00CF1E87">
            <w:pPr>
              <w:pStyle w:val="TableParagraph"/>
              <w:ind w:right="288"/>
            </w:pPr>
          </w:p>
          <w:p w:rsidR="00CF1E87" w:rsidRDefault="00CF1E87" w:rsidP="00CF1E87">
            <w:pPr>
              <w:pStyle w:val="TableParagraph"/>
              <w:spacing w:before="1" w:line="260" w:lineRule="atLeast"/>
              <w:ind w:right="416"/>
            </w:pPr>
          </w:p>
          <w:p w:rsidR="00CF1E87" w:rsidRPr="009A5522" w:rsidRDefault="00CF1E87" w:rsidP="00CF1E87">
            <w:pPr>
              <w:pStyle w:val="TableParagraph"/>
              <w:spacing w:before="1" w:line="260" w:lineRule="atLeast"/>
              <w:ind w:right="416"/>
            </w:pPr>
            <w:r w:rsidRPr="009A5522">
              <w:t>Paper Towel Dispenser and Pedal Bin installed.</w:t>
            </w:r>
          </w:p>
          <w:p w:rsidR="00CF1E87" w:rsidRDefault="00CF1E87" w:rsidP="00CF1E87">
            <w:pPr>
              <w:pStyle w:val="TableParagraph"/>
              <w:ind w:right="288"/>
            </w:pPr>
            <w:r>
              <w:t xml:space="preserve">Soap, paper towels and toilet paper to be regularly replenished. </w:t>
            </w:r>
          </w:p>
          <w:p w:rsidR="00CF1E87" w:rsidRDefault="00CF1E87" w:rsidP="00CF1E87">
            <w:pPr>
              <w:pStyle w:val="TableParagraph"/>
              <w:ind w:right="288"/>
            </w:pPr>
            <w:r w:rsidRPr="00155742">
              <w:t xml:space="preserve">Hirer to be advised where to access for restocking if needed. </w:t>
            </w:r>
          </w:p>
          <w:p w:rsidR="00F45E30" w:rsidRDefault="00F45E30" w:rsidP="00CF1E87">
            <w:pPr>
              <w:pStyle w:val="TableParagraph"/>
              <w:ind w:right="288"/>
            </w:pPr>
          </w:p>
          <w:p w:rsidR="00484518" w:rsidRDefault="00484518" w:rsidP="00484518">
            <w:pPr>
              <w:pStyle w:val="TableParagraph"/>
              <w:ind w:right="170"/>
              <w:rPr>
                <w:bCs/>
              </w:rPr>
            </w:pPr>
            <w:r>
              <w:rPr>
                <w:bCs/>
              </w:rPr>
              <w:t>Cleaning chemicals will be kept under the sink in the kitchen. Cleaning cloths will be available.</w:t>
            </w:r>
          </w:p>
          <w:p w:rsidR="00484518" w:rsidRDefault="00484518" w:rsidP="00484518">
            <w:pPr>
              <w:pStyle w:val="TableParagraph"/>
              <w:ind w:left="0" w:right="735"/>
            </w:pPr>
          </w:p>
          <w:p w:rsidR="00484518" w:rsidRDefault="00484518" w:rsidP="00484518">
            <w:pPr>
              <w:pStyle w:val="TableParagraph"/>
              <w:ind w:left="0" w:right="735"/>
            </w:pPr>
            <w:r>
              <w:t xml:space="preserve"> Forms available in  the  </w:t>
            </w:r>
          </w:p>
          <w:p w:rsidR="00484518" w:rsidRDefault="00484518" w:rsidP="00484518">
            <w:pPr>
              <w:pStyle w:val="TableParagraph"/>
              <w:ind w:left="0" w:right="288"/>
            </w:pPr>
            <w:r>
              <w:t xml:space="preserve"> </w:t>
            </w:r>
            <w:r w:rsidR="00F45E30">
              <w:t>Kitchen</w:t>
            </w:r>
            <w:r>
              <w:t>.</w:t>
            </w:r>
          </w:p>
        </w:tc>
      </w:tr>
      <w:bookmarkEnd w:id="2"/>
    </w:tbl>
    <w:p w:rsidR="007040A5" w:rsidRDefault="007040A5" w:rsidP="00484518">
      <w:pPr>
        <w:pStyle w:val="BodyText"/>
        <w:rPr>
          <w:b/>
          <w:sz w:val="20"/>
        </w:rPr>
      </w:pPr>
    </w:p>
    <w:sectPr w:rsidR="007040A5" w:rsidSect="00782082">
      <w:pgSz w:w="16840" w:h="11910" w:orient="landscape"/>
      <w:pgMar w:top="1520" w:right="1320" w:bottom="1160" w:left="1340" w:header="564" w:footer="9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1C5" w:rsidRDefault="001E61C5">
      <w:r>
        <w:separator/>
      </w:r>
    </w:p>
  </w:endnote>
  <w:endnote w:type="continuationSeparator" w:id="0">
    <w:p w:rsidR="001E61C5" w:rsidRDefault="001E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103529"/>
      <w:docPartObj>
        <w:docPartGallery w:val="Page Numbers (Bottom of Page)"/>
        <w:docPartUnique/>
      </w:docPartObj>
    </w:sdtPr>
    <w:sdtEndPr>
      <w:rPr>
        <w:b/>
        <w:bCs/>
        <w:noProof/>
        <w:color w:val="C0504D" w:themeColor="accent2"/>
        <w:sz w:val="28"/>
        <w:szCs w:val="28"/>
      </w:rPr>
    </w:sdtEndPr>
    <w:sdtContent>
      <w:p w:rsidR="00055516" w:rsidRPr="00055516" w:rsidRDefault="00B21B10">
        <w:pPr>
          <w:pStyle w:val="Footer"/>
          <w:jc w:val="center"/>
          <w:rPr>
            <w:b/>
            <w:bCs/>
            <w:color w:val="C0504D" w:themeColor="accent2"/>
            <w:sz w:val="28"/>
            <w:szCs w:val="28"/>
          </w:rPr>
        </w:pPr>
        <w:r w:rsidRPr="00055516">
          <w:rPr>
            <w:b/>
            <w:bCs/>
            <w:color w:val="C0504D" w:themeColor="accent2"/>
            <w:sz w:val="28"/>
            <w:szCs w:val="28"/>
          </w:rPr>
          <w:fldChar w:fldCharType="begin"/>
        </w:r>
        <w:r w:rsidR="00055516" w:rsidRPr="00055516">
          <w:rPr>
            <w:b/>
            <w:bCs/>
            <w:color w:val="C0504D" w:themeColor="accent2"/>
            <w:sz w:val="28"/>
            <w:szCs w:val="28"/>
          </w:rPr>
          <w:instrText xml:space="preserve"> PAGE   \* MERGEFORMAT </w:instrText>
        </w:r>
        <w:r w:rsidRPr="00055516">
          <w:rPr>
            <w:b/>
            <w:bCs/>
            <w:color w:val="C0504D" w:themeColor="accent2"/>
            <w:sz w:val="28"/>
            <w:szCs w:val="28"/>
          </w:rPr>
          <w:fldChar w:fldCharType="separate"/>
        </w:r>
        <w:r w:rsidR="009058F4">
          <w:rPr>
            <w:b/>
            <w:bCs/>
            <w:noProof/>
            <w:color w:val="C0504D" w:themeColor="accent2"/>
            <w:sz w:val="28"/>
            <w:szCs w:val="28"/>
          </w:rPr>
          <w:t>6</w:t>
        </w:r>
        <w:r w:rsidRPr="00055516">
          <w:rPr>
            <w:b/>
            <w:bCs/>
            <w:noProof/>
            <w:color w:val="C0504D" w:themeColor="accent2"/>
            <w:sz w:val="28"/>
            <w:szCs w:val="28"/>
          </w:rPr>
          <w:fldChar w:fldCharType="end"/>
        </w:r>
      </w:p>
    </w:sdtContent>
  </w:sdt>
  <w:p w:rsidR="007040A5" w:rsidRDefault="007040A5">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1C5" w:rsidRDefault="001E61C5">
      <w:r>
        <w:separator/>
      </w:r>
    </w:p>
  </w:footnote>
  <w:footnote w:type="continuationSeparator" w:id="0">
    <w:p w:rsidR="001E61C5" w:rsidRDefault="001E6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0A5" w:rsidRDefault="007809D9" w:rsidP="007B78B5">
    <w:pPr>
      <w:pStyle w:val="Header"/>
      <w:rPr>
        <w:sz w:val="20"/>
      </w:rPr>
    </w:pPr>
    <w:r w:rsidRPr="007809D9">
      <w:rPr>
        <w:sz w:val="32"/>
        <w:szCs w:val="32"/>
      </w:rPr>
      <w:t>Covid-19 risk assessment St Laurence Church Hall</w:t>
    </w:r>
    <w:r>
      <w:rPr>
        <w:sz w:val="32"/>
        <w:szCs w:val="32"/>
      </w:rPr>
      <w:tab/>
    </w:r>
    <w:r>
      <w:rPr>
        <w:sz w:val="32"/>
        <w:szCs w:val="32"/>
      </w:rPr>
      <w:tab/>
    </w:r>
    <w:r>
      <w:rPr>
        <w:sz w:val="32"/>
        <w:szCs w:val="32"/>
      </w:rPr>
      <w:tab/>
      <w:t>August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A36DEE"/>
    <w:multiLevelType w:val="hybridMultilevel"/>
    <w:tmpl w:val="3F9A57BE"/>
    <w:lvl w:ilvl="0" w:tplc="8304C7E0">
      <w:start w:val="1"/>
      <w:numFmt w:val="decimal"/>
      <w:lvlText w:val="%1."/>
      <w:lvlJc w:val="left"/>
      <w:pPr>
        <w:ind w:left="880" w:hanging="361"/>
      </w:pPr>
      <w:rPr>
        <w:rFonts w:ascii="Tahoma" w:eastAsia="Tahoma" w:hAnsi="Tahoma" w:cs="Tahoma" w:hint="default"/>
        <w:spacing w:val="-1"/>
        <w:w w:val="100"/>
        <w:sz w:val="22"/>
        <w:szCs w:val="22"/>
        <w:lang w:val="en-GB" w:eastAsia="en-GB" w:bidi="en-GB"/>
      </w:rPr>
    </w:lvl>
    <w:lvl w:ilvl="1" w:tplc="53BCBCE2">
      <w:numFmt w:val="bullet"/>
      <w:lvlText w:val="•"/>
      <w:lvlJc w:val="left"/>
      <w:pPr>
        <w:ind w:left="2209" w:hanging="361"/>
      </w:pPr>
      <w:rPr>
        <w:rFonts w:hint="default"/>
        <w:lang w:val="en-GB" w:eastAsia="en-GB" w:bidi="en-GB"/>
      </w:rPr>
    </w:lvl>
    <w:lvl w:ilvl="2" w:tplc="B3E03B86">
      <w:numFmt w:val="bullet"/>
      <w:lvlText w:val="•"/>
      <w:lvlJc w:val="left"/>
      <w:pPr>
        <w:ind w:left="3539" w:hanging="361"/>
      </w:pPr>
      <w:rPr>
        <w:rFonts w:hint="default"/>
        <w:lang w:val="en-GB" w:eastAsia="en-GB" w:bidi="en-GB"/>
      </w:rPr>
    </w:lvl>
    <w:lvl w:ilvl="3" w:tplc="D68A03EA">
      <w:numFmt w:val="bullet"/>
      <w:lvlText w:val="•"/>
      <w:lvlJc w:val="left"/>
      <w:pPr>
        <w:ind w:left="4869" w:hanging="361"/>
      </w:pPr>
      <w:rPr>
        <w:rFonts w:hint="default"/>
        <w:lang w:val="en-GB" w:eastAsia="en-GB" w:bidi="en-GB"/>
      </w:rPr>
    </w:lvl>
    <w:lvl w:ilvl="4" w:tplc="7CEC039C">
      <w:numFmt w:val="bullet"/>
      <w:lvlText w:val="•"/>
      <w:lvlJc w:val="left"/>
      <w:pPr>
        <w:ind w:left="6199" w:hanging="361"/>
      </w:pPr>
      <w:rPr>
        <w:rFonts w:hint="default"/>
        <w:lang w:val="en-GB" w:eastAsia="en-GB" w:bidi="en-GB"/>
      </w:rPr>
    </w:lvl>
    <w:lvl w:ilvl="5" w:tplc="B10E1474">
      <w:numFmt w:val="bullet"/>
      <w:lvlText w:val="•"/>
      <w:lvlJc w:val="left"/>
      <w:pPr>
        <w:ind w:left="7529" w:hanging="361"/>
      </w:pPr>
      <w:rPr>
        <w:rFonts w:hint="default"/>
        <w:lang w:val="en-GB" w:eastAsia="en-GB" w:bidi="en-GB"/>
      </w:rPr>
    </w:lvl>
    <w:lvl w:ilvl="6" w:tplc="F830FA70">
      <w:numFmt w:val="bullet"/>
      <w:lvlText w:val="•"/>
      <w:lvlJc w:val="left"/>
      <w:pPr>
        <w:ind w:left="8859" w:hanging="361"/>
      </w:pPr>
      <w:rPr>
        <w:rFonts w:hint="default"/>
        <w:lang w:val="en-GB" w:eastAsia="en-GB" w:bidi="en-GB"/>
      </w:rPr>
    </w:lvl>
    <w:lvl w:ilvl="7" w:tplc="543256E8">
      <w:numFmt w:val="bullet"/>
      <w:lvlText w:val="•"/>
      <w:lvlJc w:val="left"/>
      <w:pPr>
        <w:ind w:left="10188" w:hanging="361"/>
      </w:pPr>
      <w:rPr>
        <w:rFonts w:hint="default"/>
        <w:lang w:val="en-GB" w:eastAsia="en-GB" w:bidi="en-GB"/>
      </w:rPr>
    </w:lvl>
    <w:lvl w:ilvl="8" w:tplc="931AE004">
      <w:numFmt w:val="bullet"/>
      <w:lvlText w:val="•"/>
      <w:lvlJc w:val="left"/>
      <w:pPr>
        <w:ind w:left="11518" w:hanging="361"/>
      </w:pPr>
      <w:rPr>
        <w:rFonts w:hint="default"/>
        <w:lang w:val="en-GB" w:eastAsia="en-GB" w:bidi="en-GB"/>
      </w:rPr>
    </w:lvl>
  </w:abstractNum>
  <w:abstractNum w:abstractNumId="1" w15:restartNumberingAfterBreak="0">
    <w:nsid w:val="7F430534"/>
    <w:multiLevelType w:val="hybridMultilevel"/>
    <w:tmpl w:val="B9DC9B5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0A5"/>
    <w:rsid w:val="0002294E"/>
    <w:rsid w:val="00055516"/>
    <w:rsid w:val="00096232"/>
    <w:rsid w:val="000A0CB2"/>
    <w:rsid w:val="000C360D"/>
    <w:rsid w:val="00111AEC"/>
    <w:rsid w:val="0012336A"/>
    <w:rsid w:val="0012546C"/>
    <w:rsid w:val="001255E2"/>
    <w:rsid w:val="00132B3B"/>
    <w:rsid w:val="00137FC7"/>
    <w:rsid w:val="00155742"/>
    <w:rsid w:val="00180928"/>
    <w:rsid w:val="00186451"/>
    <w:rsid w:val="001A2897"/>
    <w:rsid w:val="001A74C0"/>
    <w:rsid w:val="001B00A4"/>
    <w:rsid w:val="001C1003"/>
    <w:rsid w:val="001E0E55"/>
    <w:rsid w:val="001E61C5"/>
    <w:rsid w:val="002433D9"/>
    <w:rsid w:val="0024457E"/>
    <w:rsid w:val="00245C8D"/>
    <w:rsid w:val="002912F8"/>
    <w:rsid w:val="002930FC"/>
    <w:rsid w:val="002967F8"/>
    <w:rsid w:val="002B6F46"/>
    <w:rsid w:val="002C537D"/>
    <w:rsid w:val="002D4ACA"/>
    <w:rsid w:val="002E5852"/>
    <w:rsid w:val="00327475"/>
    <w:rsid w:val="00332638"/>
    <w:rsid w:val="00342D4D"/>
    <w:rsid w:val="0034313F"/>
    <w:rsid w:val="00362166"/>
    <w:rsid w:val="0036295B"/>
    <w:rsid w:val="0038038E"/>
    <w:rsid w:val="0039307B"/>
    <w:rsid w:val="003C0B82"/>
    <w:rsid w:val="003E10F3"/>
    <w:rsid w:val="003F3DE8"/>
    <w:rsid w:val="003F4F8D"/>
    <w:rsid w:val="00404010"/>
    <w:rsid w:val="00410FE6"/>
    <w:rsid w:val="004219B7"/>
    <w:rsid w:val="00450397"/>
    <w:rsid w:val="00484518"/>
    <w:rsid w:val="004B03F9"/>
    <w:rsid w:val="004B30A5"/>
    <w:rsid w:val="004C3065"/>
    <w:rsid w:val="004D12D6"/>
    <w:rsid w:val="004F2960"/>
    <w:rsid w:val="00502421"/>
    <w:rsid w:val="00523AB5"/>
    <w:rsid w:val="00533788"/>
    <w:rsid w:val="0054157B"/>
    <w:rsid w:val="00547162"/>
    <w:rsid w:val="00551BDC"/>
    <w:rsid w:val="00560446"/>
    <w:rsid w:val="005720A5"/>
    <w:rsid w:val="00573BCD"/>
    <w:rsid w:val="005766C8"/>
    <w:rsid w:val="00595261"/>
    <w:rsid w:val="005B5464"/>
    <w:rsid w:val="00607CA2"/>
    <w:rsid w:val="00640F1D"/>
    <w:rsid w:val="00641990"/>
    <w:rsid w:val="0065352D"/>
    <w:rsid w:val="00676057"/>
    <w:rsid w:val="00683D84"/>
    <w:rsid w:val="006A6B8C"/>
    <w:rsid w:val="006F05B7"/>
    <w:rsid w:val="006F0E7A"/>
    <w:rsid w:val="00701D90"/>
    <w:rsid w:val="007040A5"/>
    <w:rsid w:val="00742EBC"/>
    <w:rsid w:val="00747079"/>
    <w:rsid w:val="007568E3"/>
    <w:rsid w:val="00765C09"/>
    <w:rsid w:val="007809D9"/>
    <w:rsid w:val="00782082"/>
    <w:rsid w:val="00786C8C"/>
    <w:rsid w:val="00790BB5"/>
    <w:rsid w:val="007B07AB"/>
    <w:rsid w:val="007B78B5"/>
    <w:rsid w:val="007B7B4A"/>
    <w:rsid w:val="007C0D15"/>
    <w:rsid w:val="007C32AF"/>
    <w:rsid w:val="007D16E5"/>
    <w:rsid w:val="007F296E"/>
    <w:rsid w:val="00801250"/>
    <w:rsid w:val="00801CA2"/>
    <w:rsid w:val="00826CD2"/>
    <w:rsid w:val="00856F75"/>
    <w:rsid w:val="008B4A2C"/>
    <w:rsid w:val="008B57F8"/>
    <w:rsid w:val="008C5309"/>
    <w:rsid w:val="008D6A9D"/>
    <w:rsid w:val="008E723D"/>
    <w:rsid w:val="009058F4"/>
    <w:rsid w:val="00911700"/>
    <w:rsid w:val="009245FF"/>
    <w:rsid w:val="00944A90"/>
    <w:rsid w:val="00957B58"/>
    <w:rsid w:val="009700BE"/>
    <w:rsid w:val="00980317"/>
    <w:rsid w:val="009A5522"/>
    <w:rsid w:val="009D03C0"/>
    <w:rsid w:val="009D0715"/>
    <w:rsid w:val="009D649F"/>
    <w:rsid w:val="009E1AFD"/>
    <w:rsid w:val="009E28B1"/>
    <w:rsid w:val="009F6095"/>
    <w:rsid w:val="00A16BC0"/>
    <w:rsid w:val="00A17C25"/>
    <w:rsid w:val="00A200C7"/>
    <w:rsid w:val="00A30723"/>
    <w:rsid w:val="00A33D9F"/>
    <w:rsid w:val="00A45270"/>
    <w:rsid w:val="00A64340"/>
    <w:rsid w:val="00A90BDB"/>
    <w:rsid w:val="00AA394F"/>
    <w:rsid w:val="00AC157D"/>
    <w:rsid w:val="00AC5E0F"/>
    <w:rsid w:val="00AE7099"/>
    <w:rsid w:val="00AF5002"/>
    <w:rsid w:val="00B21B10"/>
    <w:rsid w:val="00B34518"/>
    <w:rsid w:val="00B4523D"/>
    <w:rsid w:val="00B70AAB"/>
    <w:rsid w:val="00B96F02"/>
    <w:rsid w:val="00BB133E"/>
    <w:rsid w:val="00BD0D99"/>
    <w:rsid w:val="00BD49A5"/>
    <w:rsid w:val="00BE4369"/>
    <w:rsid w:val="00BF42EA"/>
    <w:rsid w:val="00C073CE"/>
    <w:rsid w:val="00C557B6"/>
    <w:rsid w:val="00C6194E"/>
    <w:rsid w:val="00CA0ECB"/>
    <w:rsid w:val="00CA40A5"/>
    <w:rsid w:val="00CB2528"/>
    <w:rsid w:val="00CF1E87"/>
    <w:rsid w:val="00D0320D"/>
    <w:rsid w:val="00D16602"/>
    <w:rsid w:val="00D444B5"/>
    <w:rsid w:val="00D7296D"/>
    <w:rsid w:val="00D8310C"/>
    <w:rsid w:val="00D861E2"/>
    <w:rsid w:val="00DA3F47"/>
    <w:rsid w:val="00DB50CF"/>
    <w:rsid w:val="00DF6A3C"/>
    <w:rsid w:val="00E026CE"/>
    <w:rsid w:val="00E201BB"/>
    <w:rsid w:val="00E31E50"/>
    <w:rsid w:val="00E61CE3"/>
    <w:rsid w:val="00E63B1F"/>
    <w:rsid w:val="00E80EE0"/>
    <w:rsid w:val="00E819EA"/>
    <w:rsid w:val="00E83ABA"/>
    <w:rsid w:val="00EA672B"/>
    <w:rsid w:val="00EC2883"/>
    <w:rsid w:val="00EC3012"/>
    <w:rsid w:val="00EE347F"/>
    <w:rsid w:val="00F10915"/>
    <w:rsid w:val="00F21D71"/>
    <w:rsid w:val="00F260BE"/>
    <w:rsid w:val="00F278A4"/>
    <w:rsid w:val="00F35345"/>
    <w:rsid w:val="00F41683"/>
    <w:rsid w:val="00F45E30"/>
    <w:rsid w:val="00F531D6"/>
    <w:rsid w:val="00F576FE"/>
    <w:rsid w:val="00F72A44"/>
    <w:rsid w:val="00F760A4"/>
    <w:rsid w:val="00F76EF4"/>
    <w:rsid w:val="00F829CB"/>
    <w:rsid w:val="00F95900"/>
    <w:rsid w:val="00FB176C"/>
    <w:rsid w:val="00FB3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C00DAF-8AA6-4BEA-AD5A-73EAE1C6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CB2"/>
    <w:rPr>
      <w:rFonts w:ascii="Tahoma" w:eastAsia="Tahoma" w:hAnsi="Tahoma" w:cs="Tahoma"/>
      <w:lang w:val="en-GB" w:eastAsia="en-GB" w:bidi="en-GB"/>
    </w:rPr>
  </w:style>
  <w:style w:type="paragraph" w:styleId="Heading1">
    <w:name w:val="heading 1"/>
    <w:basedOn w:val="Normal"/>
    <w:uiPriority w:val="9"/>
    <w:qFormat/>
    <w:rsid w:val="00782082"/>
    <w:pPr>
      <w:spacing w:before="181"/>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82082"/>
  </w:style>
  <w:style w:type="paragraph" w:styleId="ListParagraph">
    <w:name w:val="List Paragraph"/>
    <w:basedOn w:val="Normal"/>
    <w:uiPriority w:val="1"/>
    <w:qFormat/>
    <w:rsid w:val="00782082"/>
    <w:pPr>
      <w:ind w:left="880" w:hanging="361"/>
    </w:pPr>
  </w:style>
  <w:style w:type="paragraph" w:customStyle="1" w:styleId="TableParagraph">
    <w:name w:val="Table Paragraph"/>
    <w:basedOn w:val="Normal"/>
    <w:uiPriority w:val="1"/>
    <w:qFormat/>
    <w:rsid w:val="00782082"/>
    <w:pPr>
      <w:ind w:left="107"/>
    </w:pPr>
  </w:style>
  <w:style w:type="paragraph" w:styleId="Header">
    <w:name w:val="header"/>
    <w:basedOn w:val="Normal"/>
    <w:link w:val="HeaderChar"/>
    <w:uiPriority w:val="99"/>
    <w:unhideWhenUsed/>
    <w:rsid w:val="00137FC7"/>
    <w:pPr>
      <w:tabs>
        <w:tab w:val="center" w:pos="4513"/>
        <w:tab w:val="right" w:pos="9026"/>
      </w:tabs>
    </w:pPr>
  </w:style>
  <w:style w:type="character" w:customStyle="1" w:styleId="HeaderChar">
    <w:name w:val="Header Char"/>
    <w:basedOn w:val="DefaultParagraphFont"/>
    <w:link w:val="Header"/>
    <w:uiPriority w:val="99"/>
    <w:rsid w:val="00137FC7"/>
    <w:rPr>
      <w:rFonts w:ascii="Tahoma" w:eastAsia="Tahoma" w:hAnsi="Tahoma" w:cs="Tahoma"/>
      <w:lang w:val="en-GB" w:eastAsia="en-GB" w:bidi="en-GB"/>
    </w:rPr>
  </w:style>
  <w:style w:type="paragraph" w:styleId="Footer">
    <w:name w:val="footer"/>
    <w:basedOn w:val="Normal"/>
    <w:link w:val="FooterChar"/>
    <w:uiPriority w:val="99"/>
    <w:unhideWhenUsed/>
    <w:rsid w:val="00137FC7"/>
    <w:pPr>
      <w:tabs>
        <w:tab w:val="center" w:pos="4513"/>
        <w:tab w:val="right" w:pos="9026"/>
      </w:tabs>
    </w:pPr>
  </w:style>
  <w:style w:type="character" w:customStyle="1" w:styleId="FooterChar">
    <w:name w:val="Footer Char"/>
    <w:basedOn w:val="DefaultParagraphFont"/>
    <w:link w:val="Footer"/>
    <w:uiPriority w:val="99"/>
    <w:rsid w:val="00137FC7"/>
    <w:rPr>
      <w:rFonts w:ascii="Tahoma" w:eastAsia="Tahoma" w:hAnsi="Tahoma" w:cs="Tahoma"/>
      <w:lang w:val="en-GB" w:eastAsia="en-GB" w:bidi="en-GB"/>
    </w:rPr>
  </w:style>
  <w:style w:type="paragraph" w:styleId="BalloonText">
    <w:name w:val="Balloon Text"/>
    <w:basedOn w:val="Normal"/>
    <w:link w:val="BalloonTextChar"/>
    <w:uiPriority w:val="99"/>
    <w:semiHidden/>
    <w:unhideWhenUsed/>
    <w:rsid w:val="005952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261"/>
    <w:rPr>
      <w:rFonts w:ascii="Segoe UI" w:eastAsia="Tahoma" w:hAnsi="Segoe UI" w:cs="Segoe UI"/>
      <w:sz w:val="18"/>
      <w:szCs w:val="18"/>
      <w:lang w:val="en-GB" w:eastAsia="en-GB" w:bidi="en-GB"/>
    </w:rPr>
  </w:style>
  <w:style w:type="paragraph" w:styleId="NoSpacing">
    <w:name w:val="No Spacing"/>
    <w:link w:val="NoSpacingChar"/>
    <w:uiPriority w:val="1"/>
    <w:qFormat/>
    <w:rsid w:val="00DF6A3C"/>
    <w:pPr>
      <w:widowControl/>
      <w:autoSpaceDE/>
      <w:autoSpaceDN/>
    </w:pPr>
    <w:rPr>
      <w:rFonts w:eastAsiaTheme="minorEastAsia"/>
    </w:rPr>
  </w:style>
  <w:style w:type="character" w:customStyle="1" w:styleId="NoSpacingChar">
    <w:name w:val="No Spacing Char"/>
    <w:basedOn w:val="DefaultParagraphFont"/>
    <w:link w:val="NoSpacing"/>
    <w:uiPriority w:val="1"/>
    <w:rsid w:val="00DF6A3C"/>
    <w:rPr>
      <w:rFonts w:eastAsiaTheme="minorEastAsia"/>
    </w:rPr>
  </w:style>
  <w:style w:type="paragraph" w:customStyle="1" w:styleId="Body">
    <w:name w:val="Body"/>
    <w:rsid w:val="00DF6A3C"/>
    <w:pPr>
      <w:widowControl/>
      <w:pBdr>
        <w:top w:val="nil"/>
        <w:left w:val="nil"/>
        <w:bottom w:val="nil"/>
        <w:right w:val="nil"/>
        <w:between w:val="nil"/>
        <w:bar w:val="nil"/>
      </w:pBdr>
      <w:autoSpaceDE/>
      <w:autoSpaceDN/>
      <w:spacing w:after="160" w:line="259" w:lineRule="auto"/>
    </w:pPr>
    <w:rPr>
      <w:rFonts w:ascii="Calibri" w:eastAsia="Arial Unicode MS" w:hAnsi="Calibri" w:cs="Arial Unicode MS"/>
      <w:color w:val="00000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B5702500DEC54B9189307FA2EBC01A" ma:contentTypeVersion="15" ma:contentTypeDescription="Create a new document." ma:contentTypeScope="" ma:versionID="490177b387a08b49ee1e330f4044a082">
  <xsd:schema xmlns:xsd="http://www.w3.org/2001/XMLSchema" xmlns:xs="http://www.w3.org/2001/XMLSchema" xmlns:p="http://schemas.microsoft.com/office/2006/metadata/properties" xmlns:ns3="d67f5bd0-335e-4f45-b900-2ff9a5651cc8" xmlns:ns4="55aa3ea7-cc9a-4027-afef-093e49f66fd2" targetNamespace="http://schemas.microsoft.com/office/2006/metadata/properties" ma:root="true" ma:fieldsID="c5856b9b800fae70966fb475eb7002e6" ns3:_="" ns4:_="">
    <xsd:import namespace="d67f5bd0-335e-4f45-b900-2ff9a5651cc8"/>
    <xsd:import namespace="55aa3ea7-cc9a-4027-afef-093e49f66fd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f5bd0-335e-4f45-b900-2ff9a5651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aa3ea7-cc9a-4027-afef-093e49f66fd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0BB0D-9DA8-4795-91B8-3A39B7CD5A9B}">
  <ds:schemaRefs>
    <ds:schemaRef ds:uri="http://schemas.microsoft.com/sharepoint/v3/contenttype/forms"/>
  </ds:schemaRefs>
</ds:datastoreItem>
</file>

<file path=customXml/itemProps2.xml><?xml version="1.0" encoding="utf-8"?>
<ds:datastoreItem xmlns:ds="http://schemas.openxmlformats.org/officeDocument/2006/customXml" ds:itemID="{0404100F-4262-40E5-9841-0611B71C2E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8DE664-1124-46C2-87B0-291B99656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f5bd0-335e-4f45-b900-2ff9a5651cc8"/>
    <ds:schemaRef ds:uri="55aa3ea7-cc9a-4027-afef-093e49f66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4D7DB0-3F28-4F3F-9D53-A2E637CD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St. Laurence CHURCH HALL COVID-19 RISK ASSESSMENT AUGUST 2020</vt:lpstr>
    </vt:vector>
  </TitlesOfParts>
  <Company/>
  <LinksUpToDate>false</LinksUpToDate>
  <CharactersWithSpaces>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Laurence CHURCH HALL COVID-19 RISK ASSESSMENT AUGUST 2020</dc:title>
  <dc:subject>As a result of this Risk Assessment the PCC of St Laurence, Measham has determined that the church hall will be open for groups as from ? 2020. This Risk Assessment is based upon guidance available as at 31st July 2020, and practice will evolve as national and diocesan guidance allows, and the current state of play regarding the Covid 19 virus .As a PCC we aim to minimize risk, as much as is reasonably practicable in a constantly evolving situation, whilst recognizing we cannot entirely remove it. Our assessment of risk is based on Location - village Church, with a small number of groups using the facility, demographic of our local population, recognizing that many of those attending the Church hall may fall into the Extremely Vulnerable and Vulnerable groups, therefore potential impact may be high. The prevalence, of Covid 19 in the immediate and neighbouring communities appears to be low. Therefore our overall assessment of risk at this point is low/medium.  If this changes, prevalence increases, or volunteers become unavailable then our approach will be revisited.</dc:subject>
  <dc:creator>Louise Beaton</dc:creator>
  <cp:lastModifiedBy>Helen Phillips</cp:lastModifiedBy>
  <cp:revision>4</cp:revision>
  <dcterms:created xsi:type="dcterms:W3CDTF">2021-08-21T11:58:00Z</dcterms:created>
  <dcterms:modified xsi:type="dcterms:W3CDTF">2021-08-21T12:03:00Z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Microsoft® Word for Microsoft 365</vt:lpwstr>
  </property>
  <property fmtid="{D5CDD505-2E9C-101B-9397-08002B2CF9AE}" pid="4" name="LastSaved">
    <vt:filetime>2020-07-01T00:00:00Z</vt:filetime>
  </property>
  <property fmtid="{D5CDD505-2E9C-101B-9397-08002B2CF9AE}" pid="5" name="ContentTypeId">
    <vt:lpwstr>0x010100CDB5702500DEC54B9189307FA2EBC01A</vt:lpwstr>
  </property>
</Properties>
</file>